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693E" w14:textId="5738CE6D" w:rsidR="00D06AB2" w:rsidRDefault="006A02AD" w:rsidP="59A5D358">
      <w:pPr>
        <w:spacing w:before="100" w:beforeAutospacing="1" w:after="100" w:afterAutospacing="1" w:line="266" w:lineRule="atLeast"/>
        <w:outlineLvl w:val="0"/>
        <w:rPr>
          <w:rFonts w:ascii="Invesco Interstate Bold" w:hAnsi="Invesco Interstate Bold"/>
          <w:b/>
          <w:bCs/>
          <w:sz w:val="24"/>
          <w:szCs w:val="24"/>
        </w:rPr>
      </w:pPr>
      <w:r>
        <w:rPr>
          <w:rFonts w:ascii="Invesco Interstate Bold" w:hAnsi="Invesco Interstate Bold"/>
          <w:b/>
          <w:bCs/>
          <w:sz w:val="24"/>
          <w:szCs w:val="24"/>
        </w:rPr>
        <w:t xml:space="preserve">Invesco: </w:t>
      </w:r>
      <w:r w:rsidR="004E2099">
        <w:rPr>
          <w:rFonts w:ascii="Invesco Interstate Bold" w:hAnsi="Invesco Interstate Bold"/>
          <w:b/>
          <w:bCs/>
          <w:sz w:val="24"/>
          <w:szCs w:val="24"/>
        </w:rPr>
        <w:t>Investiční trendy u burzovně obchodovatelných fondů</w:t>
      </w:r>
    </w:p>
    <w:p w14:paraId="44368046" w14:textId="6A5BE9FC" w:rsidR="004E2099" w:rsidRPr="006A02AD" w:rsidRDefault="004E2099" w:rsidP="004E2099">
      <w:pPr>
        <w:spacing w:line="276" w:lineRule="auto"/>
        <w:jc w:val="both"/>
        <w:rPr>
          <w:rFonts w:ascii="Invesco Interstate Light" w:hAnsi="Invesco Interstate Light"/>
          <w:b/>
          <w:bCs/>
          <w:sz w:val="22"/>
          <w:szCs w:val="22"/>
        </w:rPr>
      </w:pPr>
      <w:r w:rsidRPr="004E2099">
        <w:rPr>
          <w:rFonts w:ascii="Invesco Interstate Light" w:hAnsi="Invesco Interstate Light"/>
          <w:b/>
          <w:bCs/>
          <w:sz w:val="22"/>
          <w:szCs w:val="22"/>
        </w:rPr>
        <w:t xml:space="preserve">Burzovně obchodované fondy neboli ETF se začínají čím dál víc prosazovat i v evropském regionu. Celková globální hodnota ETF od všech emitentů se přitom od roku 2018 do loňska téměř zdvojnásobila. Začátek roku 2022 přitom naznačuje, že zájem o ETF bude pokračovat. </w:t>
      </w:r>
    </w:p>
    <w:p w14:paraId="453E0213" w14:textId="74644BAB" w:rsidR="002C051B" w:rsidRDefault="002C051B" w:rsidP="00283E34">
      <w:pPr>
        <w:spacing w:line="276" w:lineRule="auto"/>
        <w:jc w:val="both"/>
        <w:rPr>
          <w:rFonts w:ascii="Invesco Interstate Light" w:hAnsi="Invesco Interstate Light"/>
          <w:b/>
          <w:bCs/>
          <w:sz w:val="22"/>
          <w:szCs w:val="22"/>
        </w:rPr>
      </w:pPr>
    </w:p>
    <w:p w14:paraId="574A567D" w14:textId="38CF154C" w:rsidR="004E2099" w:rsidRPr="004E2099" w:rsidRDefault="004E2099" w:rsidP="004E2099">
      <w:pPr>
        <w:spacing w:line="276" w:lineRule="auto"/>
        <w:jc w:val="both"/>
        <w:rPr>
          <w:rFonts w:ascii="Invesco Interstate Light" w:hAnsi="Invesco Interstate Light"/>
          <w:sz w:val="22"/>
          <w:szCs w:val="22"/>
        </w:rPr>
      </w:pPr>
      <w:r w:rsidRPr="004E2099">
        <w:rPr>
          <w:rFonts w:ascii="Invesco Interstate Light" w:hAnsi="Invesco Interstate Light"/>
          <w:i/>
          <w:iCs/>
          <w:sz w:val="22"/>
          <w:szCs w:val="22"/>
        </w:rPr>
        <w:t xml:space="preserve">„Společnost Invesco má v současné chvíli po celém světě ETFka s hodnotou aktiv přes 470 miliard USD a nabízí více než 400 vlastních produktů. V evropském regionu a v jednotlivých zemích uvádíme na trh další a další ETF, tak aby byly dostupné i lokálním investorům u jejich brokerů,” </w:t>
      </w:r>
      <w:r w:rsidRPr="004E2099">
        <w:rPr>
          <w:rFonts w:ascii="Invesco Interstate Light" w:hAnsi="Invesco Interstate Light"/>
          <w:sz w:val="22"/>
          <w:szCs w:val="22"/>
        </w:rPr>
        <w:t xml:space="preserve">vysvětluje Eva Miklášová, country lead společnosti Invesco pro Českou republiku. </w:t>
      </w:r>
      <w:r w:rsidRPr="004E2099">
        <w:rPr>
          <w:rFonts w:ascii="Invesco Interstate Light" w:hAnsi="Invesco Interstate Light"/>
          <w:i/>
          <w:iCs/>
          <w:sz w:val="22"/>
          <w:szCs w:val="22"/>
        </w:rPr>
        <w:t>„Růst v oblasti ETF je rychlý, ačkoliv burzovně obchodované fondy tvoří zatím jen 10 % aktiv všech evropských fondů,“</w:t>
      </w:r>
      <w:r w:rsidRPr="004E2099">
        <w:rPr>
          <w:rFonts w:ascii="Invesco Interstate Light" w:hAnsi="Invesco Interstate Light"/>
          <w:sz w:val="22"/>
          <w:szCs w:val="22"/>
        </w:rPr>
        <w:t xml:space="preserve"> dodává Eva Miklášová. </w:t>
      </w:r>
    </w:p>
    <w:p w14:paraId="22FC75AE" w14:textId="3A7E86E1" w:rsidR="004E2099" w:rsidRPr="004E2099" w:rsidRDefault="002C051B" w:rsidP="004E2099">
      <w:pPr>
        <w:spacing w:line="276" w:lineRule="auto"/>
        <w:jc w:val="both"/>
        <w:rPr>
          <w:rFonts w:ascii="Invesco Interstate Light" w:hAnsi="Invesco Interstate Light"/>
          <w:sz w:val="22"/>
          <w:szCs w:val="22"/>
        </w:rPr>
      </w:pPr>
      <w:r>
        <w:rPr>
          <w:rFonts w:ascii="Invesco Interstate Light" w:hAnsi="Invesco Interstate Light"/>
        </w:rPr>
        <w:br/>
      </w:r>
      <w:r w:rsidR="004E2099" w:rsidRPr="004E2099">
        <w:rPr>
          <w:rFonts w:ascii="Invesco Interstate Light" w:hAnsi="Invesco Interstate Light"/>
          <w:sz w:val="22"/>
          <w:szCs w:val="22"/>
        </w:rPr>
        <w:t>Celosvětově byla v roce 2021 v ETFkách aktiva pod správou v hodnotě 10</w:t>
      </w:r>
      <w:r w:rsidR="00904172">
        <w:rPr>
          <w:rFonts w:ascii="Invesco Interstate Light" w:hAnsi="Invesco Interstate Light"/>
          <w:sz w:val="22"/>
          <w:szCs w:val="22"/>
        </w:rPr>
        <w:t xml:space="preserve"> </w:t>
      </w:r>
      <w:r w:rsidR="004E2099" w:rsidRPr="004E2099">
        <w:rPr>
          <w:rFonts w:ascii="Invesco Interstate Light" w:hAnsi="Invesco Interstate Light"/>
          <w:sz w:val="22"/>
          <w:szCs w:val="22"/>
        </w:rPr>
        <w:t>000 mld. dolarů. Čistá nová aktiva ve všech ET fondech v témže roce v oblasti EMEA (tedy regionu Evropy, Blízkého východu a Afriky) byla v hodnotě necelých 200 mld. dolarů, přičemž jen za první 3 měsíce letošního roku se vyšplhala na 50 mld. dolarů. ETF od společnosti Invesco v regionu EMEA investovaly v roce 2021 více než 70 miliard dolarů.</w:t>
      </w:r>
    </w:p>
    <w:p w14:paraId="02301B97" w14:textId="58771956" w:rsidR="00535242" w:rsidRDefault="00535242" w:rsidP="00535242">
      <w:pPr>
        <w:spacing w:line="276" w:lineRule="auto"/>
        <w:jc w:val="both"/>
        <w:rPr>
          <w:rFonts w:ascii="Invesco Interstate Light" w:hAnsi="Invesco Interstate Light"/>
          <w:sz w:val="22"/>
          <w:szCs w:val="22"/>
        </w:rPr>
      </w:pPr>
    </w:p>
    <w:p w14:paraId="48C32C7C" w14:textId="6F5DC8DD" w:rsidR="00A01129" w:rsidRDefault="00A01129" w:rsidP="00A01129">
      <w:pPr>
        <w:rPr>
          <w:rFonts w:ascii="Invesco Interstate Bold" w:hAnsi="Invesco Interstate Bold"/>
          <w:b/>
          <w:bCs/>
          <w:sz w:val="24"/>
          <w:szCs w:val="24"/>
        </w:rPr>
      </w:pPr>
      <w:r>
        <w:rPr>
          <w:rFonts w:ascii="Invesco Interstate Bold" w:hAnsi="Invesco Interstate Bold"/>
          <w:b/>
          <w:bCs/>
          <w:sz w:val="24"/>
          <w:szCs w:val="24"/>
        </w:rPr>
        <w:t xml:space="preserve">Graf 1: </w:t>
      </w:r>
      <w:r w:rsidR="00904172">
        <w:rPr>
          <w:rFonts w:ascii="Invesco Interstate Bold" w:hAnsi="Invesco Interstate Bold"/>
          <w:b/>
          <w:bCs/>
          <w:sz w:val="24"/>
          <w:szCs w:val="24"/>
        </w:rPr>
        <w:t xml:space="preserve">Globální aktiva pod správou </w:t>
      </w:r>
      <w:r w:rsidR="00904172" w:rsidRPr="00904172">
        <w:rPr>
          <w:rFonts w:ascii="Invesco Interstate Bold" w:hAnsi="Invesco Interstate Bold"/>
          <w:b/>
          <w:bCs/>
          <w:sz w:val="24"/>
          <w:szCs w:val="24"/>
        </w:rPr>
        <w:t>–</w:t>
      </w:r>
      <w:r w:rsidR="00904172" w:rsidRPr="00904172">
        <w:rPr>
          <w:rFonts w:ascii="Invesco Interstate Bold" w:hAnsi="Invesco Interstate Bold"/>
          <w:b/>
          <w:bCs/>
          <w:sz w:val="24"/>
          <w:szCs w:val="24"/>
        </w:rPr>
        <w:t xml:space="preserve"> ETF (mld. USD)</w:t>
      </w:r>
      <w:r w:rsidR="00904172">
        <w:t xml:space="preserve"> </w:t>
      </w:r>
    </w:p>
    <w:p w14:paraId="481924DA" w14:textId="449EE0A6" w:rsidR="00975F9F" w:rsidRDefault="00904172" w:rsidP="00A01129">
      <w:pPr>
        <w:rPr>
          <w:rFonts w:ascii="Invesco Interstate Bold" w:hAnsi="Invesco Interstate Bold"/>
          <w:b/>
          <w:bCs/>
          <w:sz w:val="24"/>
          <w:szCs w:val="24"/>
        </w:rPr>
      </w:pPr>
      <w:r w:rsidRPr="009F5C9D">
        <w:rPr>
          <w:noProof/>
        </w:rPr>
        <w:drawing>
          <wp:anchor distT="0" distB="0" distL="114300" distR="114300" simplePos="0" relativeHeight="251658240" behindDoc="0" locked="0" layoutInCell="1" allowOverlap="1" wp14:anchorId="08394A60" wp14:editId="1E1D0863">
            <wp:simplePos x="0" y="0"/>
            <wp:positionH relativeFrom="margin">
              <wp:align>left</wp:align>
            </wp:positionH>
            <wp:positionV relativeFrom="paragraph">
              <wp:posOffset>93345</wp:posOffset>
            </wp:positionV>
            <wp:extent cx="2662238" cy="2887663"/>
            <wp:effectExtent l="0" t="0" r="5080" b="8255"/>
            <wp:wrapNone/>
            <wp:docPr id="7" name="Graf 7">
              <a:extLst xmlns:a="http://schemas.openxmlformats.org/drawingml/2006/main">
                <a:ext uri="{FF2B5EF4-FFF2-40B4-BE49-F238E27FC236}">
                  <a16:creationId xmlns:a16="http://schemas.microsoft.com/office/drawing/2014/main" id="{7E6963EA-9195-4E5B-8B10-1DA1AD4E5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15C5A53" w14:textId="5C97BF9D" w:rsidR="00975F9F" w:rsidRPr="00A01129" w:rsidRDefault="00975F9F" w:rsidP="00A01129">
      <w:pPr>
        <w:rPr>
          <w:rFonts w:ascii="Invesco Interstate Bold" w:hAnsi="Invesco Interstate Bold"/>
          <w:b/>
          <w:bCs/>
          <w:sz w:val="24"/>
          <w:szCs w:val="24"/>
        </w:rPr>
      </w:pPr>
    </w:p>
    <w:p w14:paraId="02A994A7" w14:textId="7CEBDE31" w:rsidR="00A01129" w:rsidRDefault="00A01129" w:rsidP="00283E34">
      <w:pPr>
        <w:spacing w:line="276" w:lineRule="auto"/>
        <w:jc w:val="both"/>
        <w:rPr>
          <w:rFonts w:ascii="Invesco Interstate Light" w:hAnsi="Invesco Interstate Light"/>
          <w:i/>
          <w:iCs/>
          <w:sz w:val="22"/>
          <w:szCs w:val="22"/>
        </w:rPr>
      </w:pPr>
    </w:p>
    <w:p w14:paraId="65FBDB56" w14:textId="74D13E8F" w:rsidR="00975F9F" w:rsidRPr="00975F9F" w:rsidRDefault="00975F9F" w:rsidP="00975F9F">
      <w:pPr>
        <w:rPr>
          <w:rFonts w:ascii="Invesco Interstate Light" w:hAnsi="Invesco Interstate Light"/>
          <w:sz w:val="22"/>
          <w:szCs w:val="22"/>
        </w:rPr>
      </w:pPr>
    </w:p>
    <w:p w14:paraId="335A9473" w14:textId="34FDD13A" w:rsidR="00975F9F" w:rsidRPr="00975F9F" w:rsidRDefault="00975F9F" w:rsidP="00975F9F">
      <w:pPr>
        <w:rPr>
          <w:rFonts w:ascii="Invesco Interstate Light" w:hAnsi="Invesco Interstate Light"/>
          <w:sz w:val="22"/>
          <w:szCs w:val="22"/>
        </w:rPr>
      </w:pPr>
    </w:p>
    <w:p w14:paraId="0850628F" w14:textId="0EE1BC2D" w:rsidR="00975F9F" w:rsidRPr="00975F9F" w:rsidRDefault="00975F9F" w:rsidP="00975F9F">
      <w:pPr>
        <w:rPr>
          <w:rFonts w:ascii="Invesco Interstate Light" w:hAnsi="Invesco Interstate Light"/>
          <w:sz w:val="22"/>
          <w:szCs w:val="22"/>
        </w:rPr>
      </w:pPr>
    </w:p>
    <w:p w14:paraId="04FCD4FB" w14:textId="7283515C" w:rsidR="00975F9F" w:rsidRPr="00975F9F" w:rsidRDefault="00975F9F" w:rsidP="00975F9F">
      <w:pPr>
        <w:rPr>
          <w:rFonts w:ascii="Invesco Interstate Light" w:hAnsi="Invesco Interstate Light"/>
          <w:sz w:val="22"/>
          <w:szCs w:val="22"/>
        </w:rPr>
      </w:pPr>
    </w:p>
    <w:p w14:paraId="32D52EC2" w14:textId="376F9787" w:rsidR="00975F9F" w:rsidRPr="00975F9F" w:rsidRDefault="00975F9F" w:rsidP="00975F9F">
      <w:pPr>
        <w:rPr>
          <w:rFonts w:ascii="Invesco Interstate Light" w:hAnsi="Invesco Interstate Light"/>
          <w:sz w:val="22"/>
          <w:szCs w:val="22"/>
        </w:rPr>
      </w:pPr>
    </w:p>
    <w:p w14:paraId="4F14E1B8" w14:textId="6F243B37" w:rsidR="00975F9F" w:rsidRPr="00975F9F" w:rsidRDefault="00975F9F" w:rsidP="00975F9F">
      <w:pPr>
        <w:rPr>
          <w:rFonts w:ascii="Invesco Interstate Light" w:hAnsi="Invesco Interstate Light"/>
          <w:sz w:val="22"/>
          <w:szCs w:val="22"/>
        </w:rPr>
      </w:pPr>
    </w:p>
    <w:p w14:paraId="5C0091FB" w14:textId="1CED44B2" w:rsidR="00975F9F" w:rsidRPr="00975F9F" w:rsidRDefault="00975F9F" w:rsidP="00975F9F">
      <w:pPr>
        <w:rPr>
          <w:rFonts w:ascii="Invesco Interstate Light" w:hAnsi="Invesco Interstate Light"/>
          <w:sz w:val="22"/>
          <w:szCs w:val="22"/>
        </w:rPr>
      </w:pPr>
    </w:p>
    <w:p w14:paraId="55711377" w14:textId="6E049BE9" w:rsidR="00975F9F" w:rsidRPr="00975F9F" w:rsidRDefault="00975F9F" w:rsidP="00975F9F">
      <w:pPr>
        <w:rPr>
          <w:rFonts w:ascii="Invesco Interstate Light" w:hAnsi="Invesco Interstate Light"/>
          <w:sz w:val="22"/>
          <w:szCs w:val="22"/>
        </w:rPr>
      </w:pPr>
    </w:p>
    <w:p w14:paraId="41DE3820" w14:textId="051BEE7B" w:rsidR="00975F9F" w:rsidRPr="00975F9F" w:rsidRDefault="00975F9F" w:rsidP="00975F9F">
      <w:pPr>
        <w:rPr>
          <w:rFonts w:ascii="Invesco Interstate Light" w:hAnsi="Invesco Interstate Light"/>
          <w:sz w:val="22"/>
          <w:szCs w:val="22"/>
        </w:rPr>
      </w:pPr>
    </w:p>
    <w:p w14:paraId="1B98A9C5" w14:textId="4AB5B02D" w:rsidR="00975F9F" w:rsidRDefault="00975F9F" w:rsidP="00975F9F">
      <w:pPr>
        <w:rPr>
          <w:rFonts w:ascii="Invesco Interstate Light" w:hAnsi="Invesco Interstate Light"/>
          <w:i/>
          <w:iCs/>
          <w:sz w:val="22"/>
          <w:szCs w:val="22"/>
        </w:rPr>
      </w:pPr>
    </w:p>
    <w:p w14:paraId="37347E5F" w14:textId="5AD78DC3" w:rsidR="00975F9F" w:rsidRDefault="00975F9F" w:rsidP="00975F9F">
      <w:pPr>
        <w:rPr>
          <w:rFonts w:ascii="Invesco Interstate Light" w:hAnsi="Invesco Interstate Light"/>
          <w:sz w:val="22"/>
          <w:szCs w:val="22"/>
        </w:rPr>
      </w:pPr>
    </w:p>
    <w:p w14:paraId="1A665CD7" w14:textId="60EBC140" w:rsidR="00904172" w:rsidRDefault="00904172" w:rsidP="00975F9F">
      <w:pPr>
        <w:rPr>
          <w:rFonts w:ascii="Invesco Interstate Light" w:hAnsi="Invesco Interstate Light"/>
          <w:sz w:val="22"/>
          <w:szCs w:val="22"/>
        </w:rPr>
      </w:pPr>
    </w:p>
    <w:p w14:paraId="4F61A6AA" w14:textId="7043AF9B" w:rsidR="00904172" w:rsidRDefault="00904172" w:rsidP="00975F9F">
      <w:pPr>
        <w:rPr>
          <w:rFonts w:ascii="Invesco Interstate Light" w:hAnsi="Invesco Interstate Light"/>
          <w:sz w:val="22"/>
          <w:szCs w:val="22"/>
        </w:rPr>
      </w:pPr>
    </w:p>
    <w:p w14:paraId="6FB4C411" w14:textId="04D2BCA3" w:rsidR="00904172" w:rsidRDefault="00904172" w:rsidP="00975F9F">
      <w:pPr>
        <w:rPr>
          <w:rFonts w:ascii="Invesco Interstate Light" w:hAnsi="Invesco Interstate Light"/>
          <w:sz w:val="22"/>
          <w:szCs w:val="22"/>
        </w:rPr>
      </w:pPr>
    </w:p>
    <w:p w14:paraId="239B6174" w14:textId="1AF66760" w:rsidR="00904172" w:rsidRDefault="00904172" w:rsidP="00975F9F">
      <w:pPr>
        <w:rPr>
          <w:rFonts w:ascii="Invesco Interstate Light" w:hAnsi="Invesco Interstate Light"/>
          <w:sz w:val="22"/>
          <w:szCs w:val="22"/>
        </w:rPr>
      </w:pPr>
    </w:p>
    <w:p w14:paraId="79E8853E" w14:textId="684CA4A4" w:rsidR="00904172" w:rsidRDefault="00904172" w:rsidP="00975F9F">
      <w:pPr>
        <w:rPr>
          <w:rFonts w:ascii="Invesco Interstate Light" w:hAnsi="Invesco Interstate Light"/>
          <w:sz w:val="22"/>
          <w:szCs w:val="22"/>
        </w:rPr>
      </w:pPr>
    </w:p>
    <w:p w14:paraId="5F551100" w14:textId="5D7A1CA4" w:rsidR="00904172" w:rsidRDefault="00904172" w:rsidP="00975F9F">
      <w:pPr>
        <w:rPr>
          <w:rFonts w:ascii="Invesco Interstate Light" w:hAnsi="Invesco Interstate Light"/>
          <w:sz w:val="22"/>
          <w:szCs w:val="22"/>
        </w:rPr>
      </w:pPr>
    </w:p>
    <w:p w14:paraId="30A9B225" w14:textId="792404DD" w:rsidR="00904172" w:rsidRDefault="00904172" w:rsidP="00975F9F">
      <w:pPr>
        <w:rPr>
          <w:rFonts w:ascii="Invesco Interstate Light" w:hAnsi="Invesco Interstate Light"/>
          <w:sz w:val="22"/>
          <w:szCs w:val="22"/>
        </w:rPr>
      </w:pPr>
    </w:p>
    <w:p w14:paraId="75DB80CD" w14:textId="77777777" w:rsidR="00904172" w:rsidRDefault="00904172" w:rsidP="00975F9F">
      <w:pPr>
        <w:rPr>
          <w:rFonts w:ascii="Invesco Interstate Light" w:hAnsi="Invesco Interstate Light"/>
          <w:sz w:val="22"/>
          <w:szCs w:val="22"/>
        </w:rPr>
      </w:pPr>
    </w:p>
    <w:p w14:paraId="1466BAE3" w14:textId="68225E6D" w:rsidR="00975F9F" w:rsidRDefault="00975F9F" w:rsidP="00975F9F">
      <w:pPr>
        <w:rPr>
          <w:rFonts w:ascii="Invesco Interstate Light" w:hAnsi="Invesco Interstate Light"/>
          <w:sz w:val="22"/>
          <w:szCs w:val="22"/>
        </w:rPr>
      </w:pPr>
    </w:p>
    <w:p w14:paraId="1FA0ABC7" w14:textId="00E935AF" w:rsidR="00904172" w:rsidRPr="00904172" w:rsidRDefault="00904172" w:rsidP="00904172">
      <w:pPr>
        <w:rPr>
          <w:rFonts w:ascii="Invesco Interstate Light" w:hAnsi="Invesco Interstate Light"/>
          <w:i/>
          <w:iCs/>
          <w:sz w:val="22"/>
          <w:szCs w:val="22"/>
        </w:rPr>
      </w:pPr>
      <w:r w:rsidRPr="00904172">
        <w:rPr>
          <w:rFonts w:ascii="Invesco Interstate Light" w:hAnsi="Invesco Interstate Light"/>
          <w:i/>
          <w:iCs/>
          <w:sz w:val="22"/>
          <w:szCs w:val="22"/>
        </w:rPr>
        <w:t>Zdroj: Data ETFGI pocházejí od sponzorů ETF/ETP, burz, regulatorních hlášení, Thomson Reuters/Lipper, Bloomberg, k 31. březnu 2022. Aktiva v % od společnosti Morningstar, k 28. únoru 2022. NNA = čistá nová aktiva.</w:t>
      </w:r>
    </w:p>
    <w:p w14:paraId="6AD31D65" w14:textId="71EABB8B" w:rsidR="00975F9F" w:rsidRPr="00975F9F" w:rsidRDefault="00975F9F" w:rsidP="00975F9F">
      <w:pPr>
        <w:jc w:val="both"/>
        <w:rPr>
          <w:rFonts w:ascii="Invesco Interstate Light" w:hAnsi="Invesco Interstate Light"/>
          <w:i/>
          <w:iCs/>
          <w:sz w:val="22"/>
          <w:szCs w:val="22"/>
        </w:rPr>
      </w:pPr>
    </w:p>
    <w:p w14:paraId="548D1487" w14:textId="77777777" w:rsidR="00904172" w:rsidRPr="00904172" w:rsidRDefault="00904172" w:rsidP="00904172">
      <w:pPr>
        <w:spacing w:line="360" w:lineRule="auto"/>
        <w:jc w:val="both"/>
        <w:rPr>
          <w:rFonts w:ascii="Invesco Interstate Light" w:hAnsi="Invesco Interstate Light"/>
          <w:sz w:val="22"/>
          <w:szCs w:val="22"/>
        </w:rPr>
      </w:pPr>
      <w:r w:rsidRPr="00904172">
        <w:rPr>
          <w:rFonts w:ascii="Invesco Interstate Light" w:hAnsi="Invesco Interstate Light"/>
          <w:sz w:val="22"/>
          <w:szCs w:val="22"/>
        </w:rPr>
        <w:t>ETF s evropským domicilem jsou přitom tvořeny hlavně akciemi (68 %), následují investiční nástroje s fixním příjmem (27 %), komodity (9 %) a jiné. Zajímavé mohou být také ETF, které se zaměřují na akcie specifických firem, jako jsou třeba startupy, blockchain nebo firmy, pro které je důležité ESG.</w:t>
      </w:r>
    </w:p>
    <w:p w14:paraId="7B9F926C" w14:textId="77777777" w:rsidR="003719FD" w:rsidRDefault="003719FD" w:rsidP="003719FD">
      <w:pPr>
        <w:rPr>
          <w:rFonts w:ascii="Invesco Interstate Bold" w:hAnsi="Invesco Interstate Bold"/>
          <w:b/>
          <w:bCs/>
          <w:sz w:val="24"/>
          <w:szCs w:val="24"/>
        </w:rPr>
      </w:pPr>
    </w:p>
    <w:p w14:paraId="1A899A49" w14:textId="7CC8E457" w:rsidR="003719FD" w:rsidRDefault="003719FD" w:rsidP="003719FD">
      <w:pPr>
        <w:rPr>
          <w:rFonts w:ascii="Invesco Interstate Bold" w:hAnsi="Invesco Interstate Bold"/>
          <w:b/>
          <w:bCs/>
          <w:sz w:val="24"/>
          <w:szCs w:val="24"/>
        </w:rPr>
      </w:pPr>
      <w:r>
        <w:rPr>
          <w:rFonts w:ascii="Invesco Interstate Bold" w:hAnsi="Invesco Interstate Bold"/>
          <w:b/>
          <w:bCs/>
          <w:sz w:val="24"/>
          <w:szCs w:val="24"/>
        </w:rPr>
        <w:lastRenderedPageBreak/>
        <w:t xml:space="preserve">Graf 2: </w:t>
      </w:r>
      <w:r w:rsidRPr="003719FD">
        <w:rPr>
          <w:rFonts w:ascii="Invesco Interstate Bold" w:hAnsi="Invesco Interstate Bold"/>
          <w:b/>
          <w:bCs/>
          <w:sz w:val="24"/>
          <w:szCs w:val="24"/>
        </w:rPr>
        <w:t xml:space="preserve">ETF se domicilem v Evropě podle třídy aktiv (%) </w:t>
      </w:r>
    </w:p>
    <w:p w14:paraId="4A77AF61" w14:textId="1110F317" w:rsidR="003719FD" w:rsidRDefault="003719FD" w:rsidP="003719FD">
      <w:pPr>
        <w:rPr>
          <w:rFonts w:ascii="Invesco Interstate Bold" w:hAnsi="Invesco Interstate Bold"/>
          <w:b/>
          <w:bCs/>
          <w:sz w:val="24"/>
          <w:szCs w:val="24"/>
        </w:rPr>
      </w:pPr>
      <w:r w:rsidRPr="009F5C9D">
        <w:rPr>
          <w:noProof/>
        </w:rPr>
        <w:drawing>
          <wp:anchor distT="0" distB="0" distL="114300" distR="114300" simplePos="0" relativeHeight="251659264" behindDoc="0" locked="0" layoutInCell="1" allowOverlap="1" wp14:anchorId="40AB3A53" wp14:editId="524A803D">
            <wp:simplePos x="0" y="0"/>
            <wp:positionH relativeFrom="margin">
              <wp:align>left</wp:align>
            </wp:positionH>
            <wp:positionV relativeFrom="paragraph">
              <wp:posOffset>25400</wp:posOffset>
            </wp:positionV>
            <wp:extent cx="2661920" cy="2887345"/>
            <wp:effectExtent l="0" t="0" r="5080" b="8255"/>
            <wp:wrapNone/>
            <wp:docPr id="8" name="Graf 8">
              <a:extLst xmlns:a="http://schemas.openxmlformats.org/drawingml/2006/main">
                <a:ext uri="{FF2B5EF4-FFF2-40B4-BE49-F238E27FC236}">
                  <a16:creationId xmlns:a16="http://schemas.microsoft.com/office/drawing/2014/main" id="{E017F1CA-8341-4B0A-A05F-303A962D6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C8C5028" w14:textId="2560E3D4" w:rsidR="003719FD" w:rsidRPr="003719FD" w:rsidRDefault="003719FD" w:rsidP="003719FD">
      <w:pPr>
        <w:rPr>
          <w:rFonts w:ascii="Invesco Interstate Bold" w:hAnsi="Invesco Interstate Bold"/>
          <w:b/>
          <w:bCs/>
          <w:sz w:val="24"/>
          <w:szCs w:val="24"/>
        </w:rPr>
      </w:pPr>
    </w:p>
    <w:p w14:paraId="529D900E" w14:textId="72BAC029" w:rsidR="00283E34" w:rsidRDefault="00283E34" w:rsidP="00283E34">
      <w:pPr>
        <w:spacing w:line="276" w:lineRule="auto"/>
        <w:jc w:val="both"/>
        <w:rPr>
          <w:rFonts w:ascii="Invesco Interstate Light" w:hAnsi="Invesco Interstate Light"/>
          <w:i/>
          <w:iCs/>
          <w:sz w:val="22"/>
          <w:szCs w:val="22"/>
        </w:rPr>
      </w:pPr>
    </w:p>
    <w:p w14:paraId="016AD2F8" w14:textId="1361CC1A" w:rsidR="003719FD" w:rsidRDefault="003719FD" w:rsidP="00283E34">
      <w:pPr>
        <w:spacing w:line="276" w:lineRule="auto"/>
        <w:jc w:val="both"/>
        <w:rPr>
          <w:rFonts w:ascii="Invesco Interstate Light" w:hAnsi="Invesco Interstate Light"/>
          <w:i/>
          <w:iCs/>
          <w:sz w:val="22"/>
          <w:szCs w:val="22"/>
        </w:rPr>
      </w:pPr>
    </w:p>
    <w:p w14:paraId="29DFB453" w14:textId="06159472" w:rsidR="003719FD" w:rsidRDefault="003719FD" w:rsidP="00283E34">
      <w:pPr>
        <w:spacing w:line="276" w:lineRule="auto"/>
        <w:jc w:val="both"/>
        <w:rPr>
          <w:rFonts w:ascii="Invesco Interstate Light" w:hAnsi="Invesco Interstate Light"/>
          <w:i/>
          <w:iCs/>
          <w:sz w:val="22"/>
          <w:szCs w:val="22"/>
        </w:rPr>
      </w:pPr>
    </w:p>
    <w:p w14:paraId="04EC870D" w14:textId="0105A297" w:rsidR="003719FD" w:rsidRDefault="003719FD" w:rsidP="00283E34">
      <w:pPr>
        <w:spacing w:line="276" w:lineRule="auto"/>
        <w:jc w:val="both"/>
        <w:rPr>
          <w:rFonts w:ascii="Invesco Interstate Light" w:hAnsi="Invesco Interstate Light"/>
          <w:i/>
          <w:iCs/>
          <w:sz w:val="22"/>
          <w:szCs w:val="22"/>
        </w:rPr>
      </w:pPr>
    </w:p>
    <w:p w14:paraId="503B3C6B" w14:textId="0B89AC3E" w:rsidR="003719FD" w:rsidRDefault="003719FD" w:rsidP="00283E34">
      <w:pPr>
        <w:spacing w:line="276" w:lineRule="auto"/>
        <w:jc w:val="both"/>
        <w:rPr>
          <w:rFonts w:ascii="Invesco Interstate Light" w:hAnsi="Invesco Interstate Light"/>
          <w:i/>
          <w:iCs/>
          <w:sz w:val="22"/>
          <w:szCs w:val="22"/>
        </w:rPr>
      </w:pPr>
    </w:p>
    <w:p w14:paraId="3BA17D85" w14:textId="3D593D98" w:rsidR="003719FD" w:rsidRDefault="003719FD" w:rsidP="00283E34">
      <w:pPr>
        <w:spacing w:line="276" w:lineRule="auto"/>
        <w:jc w:val="both"/>
        <w:rPr>
          <w:rFonts w:ascii="Invesco Interstate Light" w:hAnsi="Invesco Interstate Light"/>
          <w:i/>
          <w:iCs/>
          <w:sz w:val="22"/>
          <w:szCs w:val="22"/>
        </w:rPr>
      </w:pPr>
    </w:p>
    <w:p w14:paraId="239CC7BD" w14:textId="50A75721" w:rsidR="003719FD" w:rsidRDefault="003719FD" w:rsidP="00283E34">
      <w:pPr>
        <w:spacing w:line="276" w:lineRule="auto"/>
        <w:jc w:val="both"/>
        <w:rPr>
          <w:rFonts w:ascii="Invesco Interstate Light" w:hAnsi="Invesco Interstate Light"/>
          <w:i/>
          <w:iCs/>
          <w:sz w:val="22"/>
          <w:szCs w:val="22"/>
        </w:rPr>
      </w:pPr>
    </w:p>
    <w:p w14:paraId="3EC6730A" w14:textId="5E382F9B" w:rsidR="003719FD" w:rsidRDefault="003719FD" w:rsidP="00283E34">
      <w:pPr>
        <w:spacing w:line="276" w:lineRule="auto"/>
        <w:jc w:val="both"/>
        <w:rPr>
          <w:rFonts w:ascii="Invesco Interstate Light" w:hAnsi="Invesco Interstate Light"/>
          <w:i/>
          <w:iCs/>
          <w:sz w:val="22"/>
          <w:szCs w:val="22"/>
        </w:rPr>
      </w:pPr>
    </w:p>
    <w:p w14:paraId="2C873982" w14:textId="5AB5EECA" w:rsidR="003719FD" w:rsidRDefault="003719FD" w:rsidP="00283E34">
      <w:pPr>
        <w:spacing w:line="276" w:lineRule="auto"/>
        <w:jc w:val="both"/>
        <w:rPr>
          <w:rFonts w:ascii="Invesco Interstate Light" w:hAnsi="Invesco Interstate Light"/>
          <w:i/>
          <w:iCs/>
          <w:sz w:val="22"/>
          <w:szCs w:val="22"/>
        </w:rPr>
      </w:pPr>
    </w:p>
    <w:p w14:paraId="1096AEED" w14:textId="7FC17104" w:rsidR="003719FD" w:rsidRDefault="003719FD" w:rsidP="00283E34">
      <w:pPr>
        <w:spacing w:line="276" w:lineRule="auto"/>
        <w:jc w:val="both"/>
        <w:rPr>
          <w:rFonts w:ascii="Invesco Interstate Light" w:hAnsi="Invesco Interstate Light"/>
          <w:i/>
          <w:iCs/>
          <w:sz w:val="22"/>
          <w:szCs w:val="22"/>
        </w:rPr>
      </w:pPr>
    </w:p>
    <w:p w14:paraId="3B19AC20" w14:textId="62ED2343" w:rsidR="003719FD" w:rsidRDefault="003719FD" w:rsidP="00283E34">
      <w:pPr>
        <w:spacing w:line="276" w:lineRule="auto"/>
        <w:jc w:val="both"/>
        <w:rPr>
          <w:rFonts w:ascii="Invesco Interstate Light" w:hAnsi="Invesco Interstate Light"/>
          <w:i/>
          <w:iCs/>
          <w:sz w:val="22"/>
          <w:szCs w:val="22"/>
        </w:rPr>
      </w:pPr>
    </w:p>
    <w:p w14:paraId="3E6EA0CD" w14:textId="351B9BAF" w:rsidR="003719FD" w:rsidRDefault="003719FD" w:rsidP="00283E34">
      <w:pPr>
        <w:spacing w:line="276" w:lineRule="auto"/>
        <w:jc w:val="both"/>
        <w:rPr>
          <w:rFonts w:ascii="Invesco Interstate Light" w:hAnsi="Invesco Interstate Light"/>
          <w:i/>
          <w:iCs/>
          <w:sz w:val="22"/>
          <w:szCs w:val="22"/>
        </w:rPr>
      </w:pPr>
    </w:p>
    <w:p w14:paraId="7F305FCA" w14:textId="7DD7B2B4" w:rsidR="003719FD" w:rsidRDefault="003719FD" w:rsidP="00283E34">
      <w:pPr>
        <w:spacing w:line="276" w:lineRule="auto"/>
        <w:jc w:val="both"/>
        <w:rPr>
          <w:rFonts w:ascii="Invesco Interstate Light" w:hAnsi="Invesco Interstate Light"/>
          <w:i/>
          <w:iCs/>
          <w:sz w:val="22"/>
          <w:szCs w:val="22"/>
        </w:rPr>
      </w:pPr>
    </w:p>
    <w:p w14:paraId="56EF9A00" w14:textId="77777777" w:rsidR="003719FD" w:rsidRPr="00283E34" w:rsidRDefault="003719FD" w:rsidP="00283E34">
      <w:pPr>
        <w:spacing w:line="276" w:lineRule="auto"/>
        <w:jc w:val="both"/>
        <w:rPr>
          <w:rFonts w:ascii="Invesco Interstate Light" w:hAnsi="Invesco Interstate Light"/>
          <w:i/>
          <w:iCs/>
          <w:sz w:val="22"/>
          <w:szCs w:val="22"/>
        </w:rPr>
      </w:pPr>
    </w:p>
    <w:p w14:paraId="3EEF8E88" w14:textId="0764AD96" w:rsidR="003719FD" w:rsidRPr="003719FD" w:rsidRDefault="003719FD" w:rsidP="003719FD">
      <w:pPr>
        <w:rPr>
          <w:rFonts w:ascii="Invesco Interstate Light" w:hAnsi="Invesco Interstate Light"/>
          <w:i/>
          <w:iCs/>
          <w:sz w:val="22"/>
          <w:szCs w:val="22"/>
        </w:rPr>
      </w:pPr>
      <w:r w:rsidRPr="003719FD">
        <w:rPr>
          <w:rFonts w:ascii="Invesco Interstate Light" w:hAnsi="Invesco Interstate Light"/>
          <w:i/>
          <w:iCs/>
          <w:sz w:val="22"/>
          <w:szCs w:val="22"/>
        </w:rPr>
        <w:t>Zdroj: Data ETFGI pocházejí od sponzorů ETF/ETP, burz, regulatorních hlášení, Thomson Reuters/Lipper, Bloomberg, k 31. březnu 2022. Aktiva v % od společnosti Morningstar, k 28. únoru 2022. NNA = čistá nová aktiva.</w:t>
      </w:r>
      <w:r>
        <w:rPr>
          <w:rFonts w:ascii="Invesco Interstate Light" w:hAnsi="Invesco Interstate Light"/>
          <w:i/>
          <w:iCs/>
          <w:sz w:val="22"/>
          <w:szCs w:val="22"/>
        </w:rPr>
        <w:br/>
      </w:r>
    </w:p>
    <w:p w14:paraId="17B9D0C1" w14:textId="0DA9E8AC" w:rsidR="003719FD" w:rsidRDefault="003719FD"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r w:rsidRPr="003719FD">
        <w:rPr>
          <w:rFonts w:ascii="Invesco Interstate Light" w:eastAsia="Times New Roman" w:hAnsi="Invesco Interstate Light" w:cs="Times New Roman"/>
          <w:i/>
          <w:iCs/>
          <w:lang w:eastAsia="de-DE"/>
        </w:rPr>
        <w:t>„Právě ESG je pro mnohé investory důležitým kritériem. Pozorujeme výrazný nárůst aktiv pod správou ETF, které se zaměřují právě na akcie firem s pokročilými standardy ESG. Zájem o ETF v region EMEA byl v roce 2021 rekordní. Až polovina z celkových nových aktiv byla investována do ESG ETF. Tento trend pokračuje i v roce 2022,”</w:t>
      </w:r>
      <w:r w:rsidRPr="003719FD">
        <w:rPr>
          <w:rFonts w:ascii="Invesco Interstate Light" w:eastAsia="Times New Roman" w:hAnsi="Invesco Interstate Light" w:cs="Times New Roman"/>
          <w:lang w:eastAsia="de-DE"/>
        </w:rPr>
        <w:t xml:space="preserve"> zmiňuje Eva Miklášová. </w:t>
      </w:r>
      <w:r w:rsidRPr="003719FD">
        <w:rPr>
          <w:rFonts w:ascii="Invesco Interstate Light" w:eastAsia="Times New Roman" w:hAnsi="Invesco Interstate Light" w:cs="Times New Roman"/>
          <w:i/>
          <w:iCs/>
          <w:lang w:eastAsia="de-DE"/>
        </w:rPr>
        <w:t>„I v nabídce v České republice proto máme například fond Invesco MSCI World ESG Universal Screened UCITS ETF.”</w:t>
      </w:r>
    </w:p>
    <w:p w14:paraId="4A4FC93A" w14:textId="3EF09939"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2F32FD12" w14:textId="52235B74"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317848A8" w14:textId="6E8834DD"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7A60E856" w14:textId="72BE145D"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01202DFF" w14:textId="4A914D01"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4343F023" w14:textId="20604CAD"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296A5A26" w14:textId="70111A5A"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5B2CD186" w14:textId="616EF1FF"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7846A830" w14:textId="49AF3080"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60E46A1A" w14:textId="35C74BDA"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39B5ACF5" w14:textId="09B906C7"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1A45B69E" w14:textId="7F7B9952" w:rsidR="002724F4" w:rsidRDefault="002724F4" w:rsidP="003719FD">
      <w:pPr>
        <w:pStyle w:val="gmail-m2150731417562814734gmail-m6704279957707695932gmail-m-3490957566834524178gmail-m-7148903268299358622msolistparagraph"/>
        <w:spacing w:line="276" w:lineRule="auto"/>
        <w:jc w:val="both"/>
        <w:rPr>
          <w:rFonts w:ascii="Invesco Interstate Light" w:eastAsia="Times New Roman" w:hAnsi="Invesco Interstate Light" w:cs="Times New Roman"/>
          <w:i/>
          <w:iCs/>
          <w:lang w:eastAsia="de-DE"/>
        </w:rPr>
      </w:pPr>
    </w:p>
    <w:p w14:paraId="2FB684DA" w14:textId="77777777" w:rsidR="002724F4" w:rsidRDefault="002724F4" w:rsidP="003719FD">
      <w:pPr>
        <w:rPr>
          <w:rFonts w:ascii="Invesco Interstate Bold" w:hAnsi="Invesco Interstate Bold"/>
          <w:b/>
          <w:bCs/>
          <w:sz w:val="24"/>
          <w:szCs w:val="24"/>
        </w:rPr>
      </w:pPr>
    </w:p>
    <w:p w14:paraId="5615B634" w14:textId="6F425AC6" w:rsidR="003719FD" w:rsidRPr="003719FD" w:rsidRDefault="003719FD" w:rsidP="003719FD">
      <w:pPr>
        <w:rPr>
          <w:rFonts w:ascii="Invesco Interstate Bold" w:hAnsi="Invesco Interstate Bold"/>
          <w:b/>
          <w:bCs/>
          <w:sz w:val="24"/>
          <w:szCs w:val="24"/>
        </w:rPr>
      </w:pPr>
      <w:r>
        <w:rPr>
          <w:rFonts w:ascii="Invesco Interstate Bold" w:hAnsi="Invesco Interstate Bold"/>
          <w:b/>
          <w:bCs/>
          <w:sz w:val="24"/>
          <w:szCs w:val="24"/>
        </w:rPr>
        <w:lastRenderedPageBreak/>
        <w:t xml:space="preserve">Graf 3: </w:t>
      </w:r>
      <w:r w:rsidRPr="003719FD">
        <w:rPr>
          <w:rFonts w:ascii="Invesco Interstate Bold" w:hAnsi="Invesco Interstate Bold"/>
          <w:b/>
          <w:bCs/>
          <w:sz w:val="24"/>
          <w:szCs w:val="24"/>
        </w:rPr>
        <w:t>Nárůst počtu ETF zaměřených na ESG</w:t>
      </w:r>
    </w:p>
    <w:p w14:paraId="24E15B14" w14:textId="77777777" w:rsidR="002724F4" w:rsidRDefault="002724F4" w:rsidP="002724F4">
      <w:pPr>
        <w:rPr>
          <w:sz w:val="20"/>
          <w:szCs w:val="20"/>
          <w:lang w:val="en-GB"/>
        </w:rPr>
      </w:pPr>
      <w:r w:rsidRPr="00AA7EDC">
        <w:rPr>
          <w:noProof/>
        </w:rPr>
        <w:drawing>
          <wp:anchor distT="0" distB="0" distL="114300" distR="114300" simplePos="0" relativeHeight="251660288" behindDoc="0" locked="0" layoutInCell="1" allowOverlap="1" wp14:anchorId="37CF7D75" wp14:editId="145F4543">
            <wp:simplePos x="0" y="0"/>
            <wp:positionH relativeFrom="column">
              <wp:posOffset>-86995</wp:posOffset>
            </wp:positionH>
            <wp:positionV relativeFrom="paragraph">
              <wp:posOffset>64770</wp:posOffset>
            </wp:positionV>
            <wp:extent cx="4140200" cy="2882900"/>
            <wp:effectExtent l="0" t="0" r="0" b="0"/>
            <wp:wrapThrough wrapText="bothSides">
              <wp:wrapPolygon edited="0">
                <wp:start x="0" y="0"/>
                <wp:lineTo x="0" y="21410"/>
                <wp:lineTo x="21467" y="21410"/>
                <wp:lineTo x="21467" y="0"/>
                <wp:lineTo x="0" y="0"/>
              </wp:wrapPolygon>
            </wp:wrapThrough>
            <wp:docPr id="5" name="Graf 5">
              <a:extLst xmlns:a="http://schemas.openxmlformats.org/drawingml/2006/main">
                <a:ext uri="{FF2B5EF4-FFF2-40B4-BE49-F238E27FC236}">
                  <a16:creationId xmlns:a16="http://schemas.microsoft.com/office/drawing/2014/main" id="{A0E9785B-7E62-4A6D-8ABC-EC96D41D8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719FD">
        <w:rPr>
          <w:rFonts w:ascii="Invesco Interstate Light" w:hAnsi="Invesco Interstate Light"/>
          <w:sz w:val="22"/>
          <w:szCs w:val="22"/>
        </w:rPr>
        <w:br/>
      </w:r>
      <w:bookmarkStart w:id="0" w:name="_Hlk106009742"/>
    </w:p>
    <w:p w14:paraId="02117D8A" w14:textId="77777777" w:rsidR="002724F4" w:rsidRDefault="002724F4" w:rsidP="002724F4">
      <w:pPr>
        <w:rPr>
          <w:sz w:val="20"/>
          <w:szCs w:val="20"/>
          <w:lang w:val="en-GB"/>
        </w:rPr>
      </w:pPr>
    </w:p>
    <w:p w14:paraId="3680966B" w14:textId="77777777" w:rsidR="002724F4" w:rsidRDefault="002724F4" w:rsidP="002724F4">
      <w:pPr>
        <w:rPr>
          <w:sz w:val="20"/>
          <w:szCs w:val="20"/>
          <w:lang w:val="en-GB"/>
        </w:rPr>
      </w:pPr>
    </w:p>
    <w:p w14:paraId="5DEC6592" w14:textId="77777777" w:rsidR="002724F4" w:rsidRDefault="002724F4" w:rsidP="002724F4">
      <w:pPr>
        <w:rPr>
          <w:sz w:val="20"/>
          <w:szCs w:val="20"/>
          <w:lang w:val="en-GB"/>
        </w:rPr>
      </w:pPr>
    </w:p>
    <w:p w14:paraId="3EAB6760" w14:textId="77777777" w:rsidR="002724F4" w:rsidRDefault="002724F4" w:rsidP="002724F4">
      <w:pPr>
        <w:rPr>
          <w:sz w:val="20"/>
          <w:szCs w:val="20"/>
          <w:lang w:val="en-GB"/>
        </w:rPr>
      </w:pPr>
    </w:p>
    <w:p w14:paraId="1851A09F" w14:textId="77777777" w:rsidR="002724F4" w:rsidRDefault="002724F4" w:rsidP="002724F4">
      <w:pPr>
        <w:rPr>
          <w:sz w:val="20"/>
          <w:szCs w:val="20"/>
          <w:lang w:val="en-GB"/>
        </w:rPr>
      </w:pPr>
    </w:p>
    <w:p w14:paraId="1E06278F" w14:textId="77777777" w:rsidR="002724F4" w:rsidRDefault="002724F4" w:rsidP="002724F4">
      <w:pPr>
        <w:rPr>
          <w:sz w:val="20"/>
          <w:szCs w:val="20"/>
          <w:lang w:val="en-GB"/>
        </w:rPr>
      </w:pPr>
    </w:p>
    <w:p w14:paraId="4155DD3F" w14:textId="77777777" w:rsidR="002724F4" w:rsidRDefault="002724F4" w:rsidP="002724F4">
      <w:pPr>
        <w:rPr>
          <w:sz w:val="20"/>
          <w:szCs w:val="20"/>
          <w:lang w:val="en-GB"/>
        </w:rPr>
      </w:pPr>
    </w:p>
    <w:p w14:paraId="5726FD57" w14:textId="77777777" w:rsidR="002724F4" w:rsidRDefault="002724F4" w:rsidP="002724F4">
      <w:pPr>
        <w:rPr>
          <w:sz w:val="20"/>
          <w:szCs w:val="20"/>
          <w:lang w:val="en-GB"/>
        </w:rPr>
      </w:pPr>
    </w:p>
    <w:p w14:paraId="48519868" w14:textId="77777777" w:rsidR="002724F4" w:rsidRDefault="002724F4" w:rsidP="002724F4">
      <w:pPr>
        <w:rPr>
          <w:sz w:val="20"/>
          <w:szCs w:val="20"/>
          <w:lang w:val="en-GB"/>
        </w:rPr>
      </w:pPr>
    </w:p>
    <w:p w14:paraId="1D54ACBE" w14:textId="77777777" w:rsidR="002724F4" w:rsidRDefault="002724F4" w:rsidP="002724F4">
      <w:pPr>
        <w:rPr>
          <w:sz w:val="20"/>
          <w:szCs w:val="20"/>
          <w:lang w:val="en-GB"/>
        </w:rPr>
      </w:pPr>
    </w:p>
    <w:p w14:paraId="760DF168" w14:textId="77777777" w:rsidR="002724F4" w:rsidRDefault="002724F4" w:rsidP="002724F4">
      <w:pPr>
        <w:rPr>
          <w:sz w:val="20"/>
          <w:szCs w:val="20"/>
          <w:lang w:val="en-GB"/>
        </w:rPr>
      </w:pPr>
    </w:p>
    <w:p w14:paraId="7E0AA9DC" w14:textId="77777777" w:rsidR="002724F4" w:rsidRDefault="002724F4" w:rsidP="002724F4">
      <w:pPr>
        <w:rPr>
          <w:sz w:val="20"/>
          <w:szCs w:val="20"/>
          <w:lang w:val="en-GB"/>
        </w:rPr>
      </w:pPr>
    </w:p>
    <w:p w14:paraId="37C15CEE" w14:textId="77777777" w:rsidR="002724F4" w:rsidRDefault="002724F4" w:rsidP="002724F4">
      <w:pPr>
        <w:rPr>
          <w:sz w:val="20"/>
          <w:szCs w:val="20"/>
          <w:lang w:val="en-GB"/>
        </w:rPr>
      </w:pPr>
    </w:p>
    <w:p w14:paraId="59D7199C" w14:textId="77777777" w:rsidR="002724F4" w:rsidRDefault="002724F4" w:rsidP="002724F4">
      <w:pPr>
        <w:rPr>
          <w:sz w:val="20"/>
          <w:szCs w:val="20"/>
          <w:lang w:val="en-GB"/>
        </w:rPr>
      </w:pPr>
    </w:p>
    <w:p w14:paraId="59A13F34" w14:textId="77777777" w:rsidR="002724F4" w:rsidRDefault="002724F4" w:rsidP="002724F4">
      <w:pPr>
        <w:rPr>
          <w:sz w:val="20"/>
          <w:szCs w:val="20"/>
          <w:lang w:val="en-GB"/>
        </w:rPr>
      </w:pPr>
    </w:p>
    <w:p w14:paraId="7142BE64" w14:textId="77777777" w:rsidR="002724F4" w:rsidRDefault="002724F4" w:rsidP="002724F4">
      <w:pPr>
        <w:rPr>
          <w:sz w:val="20"/>
          <w:szCs w:val="20"/>
          <w:lang w:val="en-GB"/>
        </w:rPr>
      </w:pPr>
    </w:p>
    <w:p w14:paraId="10DCB31B" w14:textId="77777777" w:rsidR="002724F4" w:rsidRDefault="002724F4" w:rsidP="002724F4">
      <w:pPr>
        <w:rPr>
          <w:sz w:val="20"/>
          <w:szCs w:val="20"/>
          <w:lang w:val="en-GB"/>
        </w:rPr>
      </w:pPr>
    </w:p>
    <w:p w14:paraId="279A88D2" w14:textId="77777777" w:rsidR="002724F4" w:rsidRDefault="002724F4" w:rsidP="002724F4">
      <w:pPr>
        <w:rPr>
          <w:sz w:val="20"/>
          <w:szCs w:val="20"/>
          <w:lang w:val="en-GB"/>
        </w:rPr>
      </w:pPr>
    </w:p>
    <w:p w14:paraId="3450DE75" w14:textId="77777777" w:rsidR="002724F4" w:rsidRDefault="002724F4" w:rsidP="002724F4">
      <w:pPr>
        <w:rPr>
          <w:sz w:val="20"/>
          <w:szCs w:val="20"/>
          <w:lang w:val="en-GB"/>
        </w:rPr>
      </w:pPr>
    </w:p>
    <w:p w14:paraId="5D091832" w14:textId="77777777" w:rsidR="002724F4" w:rsidRDefault="002724F4" w:rsidP="002724F4">
      <w:pPr>
        <w:rPr>
          <w:sz w:val="20"/>
          <w:szCs w:val="20"/>
          <w:lang w:val="en-GB"/>
        </w:rPr>
      </w:pPr>
    </w:p>
    <w:p w14:paraId="6CBB4F96" w14:textId="40F22954" w:rsidR="002724F4" w:rsidRPr="002724F4" w:rsidRDefault="002724F4" w:rsidP="002724F4">
      <w:pPr>
        <w:rPr>
          <w:rFonts w:ascii="Invesco Interstate Light" w:hAnsi="Invesco Interstate Light"/>
          <w:i/>
          <w:iCs/>
          <w:sz w:val="22"/>
          <w:szCs w:val="22"/>
        </w:rPr>
      </w:pPr>
      <w:r w:rsidRPr="002724F4">
        <w:rPr>
          <w:rFonts w:ascii="Invesco Interstate Light" w:hAnsi="Invesco Interstate Light"/>
          <w:i/>
          <w:iCs/>
          <w:sz w:val="22"/>
          <w:szCs w:val="22"/>
        </w:rPr>
        <w:t>Zdroj: Bloomberg, k 31. březnu 2022</w:t>
      </w:r>
    </w:p>
    <w:bookmarkEnd w:id="0"/>
    <w:p w14:paraId="50AD2323" w14:textId="47267EA3" w:rsidR="00932BE3" w:rsidRDefault="00932BE3" w:rsidP="00932BE3">
      <w:pPr>
        <w:spacing w:line="276" w:lineRule="auto"/>
        <w:jc w:val="both"/>
        <w:rPr>
          <w:rFonts w:ascii="Invesco Interstate Light" w:hAnsi="Invesco Interstate Light"/>
          <w:sz w:val="22"/>
          <w:szCs w:val="22"/>
        </w:rPr>
      </w:pPr>
    </w:p>
    <w:p w14:paraId="4D0BE51B" w14:textId="698D46AF" w:rsidR="002724F4" w:rsidRDefault="002724F4" w:rsidP="002724F4">
      <w:pPr>
        <w:spacing w:line="276" w:lineRule="auto"/>
        <w:jc w:val="both"/>
        <w:rPr>
          <w:rFonts w:ascii="Invesco Interstate Light" w:hAnsi="Invesco Interstate Light"/>
          <w:sz w:val="22"/>
          <w:szCs w:val="22"/>
        </w:rPr>
      </w:pPr>
      <w:r w:rsidRPr="002724F4">
        <w:rPr>
          <w:rFonts w:ascii="Invesco Interstate Light" w:hAnsi="Invesco Interstate Light"/>
          <w:sz w:val="22"/>
          <w:szCs w:val="22"/>
        </w:rPr>
        <w:t xml:space="preserve">Burzovně obchodované fondy (Exchange-traded fund, zkráceně ETF) jsou na burzách obchodovány od roku 1993. Pro jednotlivé investory je možné investovat do velkého množství různých akcií. Správci ETF fondů nákupem akcií kopírují například určitý index –třeba S&amp;P 500. Výhodou je velká diverzifikace investice, což snižuje riziko ztráty. Stejně tak je i celková volatilita burzovně obchodovaných fondů nižší než u jednotlivých akcií. ETF mohou mít jako podkladové aktivum například i komodity, měny, dluhopisy, ale i jiné vybrané skupiny akcií (třeba akcie ESG zodpovědných firem). Existují také ETF, které zahrnují akcie společností, co investovaly do technologie blockchain. Díky ETFkám je tak možné minimalizovat riziko investic nejen do nových technologií. </w:t>
      </w:r>
    </w:p>
    <w:p w14:paraId="6BDD999D" w14:textId="4A45A409" w:rsidR="005D6151" w:rsidRDefault="005D6151" w:rsidP="002724F4">
      <w:pPr>
        <w:spacing w:line="276" w:lineRule="auto"/>
        <w:jc w:val="both"/>
        <w:rPr>
          <w:rFonts w:ascii="Invesco Interstate Light" w:hAnsi="Invesco Interstate Light"/>
          <w:sz w:val="22"/>
          <w:szCs w:val="22"/>
        </w:rPr>
      </w:pPr>
    </w:p>
    <w:p w14:paraId="6CB2C250" w14:textId="20D5571F" w:rsidR="005D6151" w:rsidRDefault="005D6151" w:rsidP="002724F4">
      <w:pPr>
        <w:spacing w:line="276" w:lineRule="auto"/>
        <w:jc w:val="both"/>
        <w:rPr>
          <w:rFonts w:ascii="Invesco Interstate Light" w:hAnsi="Invesco Interstate Light"/>
          <w:sz w:val="22"/>
          <w:szCs w:val="22"/>
        </w:rPr>
      </w:pPr>
    </w:p>
    <w:p w14:paraId="337C1502" w14:textId="3A3EB1E9" w:rsidR="005D6151" w:rsidRDefault="005D6151" w:rsidP="002724F4">
      <w:pPr>
        <w:spacing w:line="276" w:lineRule="auto"/>
        <w:jc w:val="both"/>
        <w:rPr>
          <w:rFonts w:ascii="Invesco Interstate Light" w:hAnsi="Invesco Interstate Light"/>
          <w:sz w:val="22"/>
          <w:szCs w:val="22"/>
        </w:rPr>
      </w:pPr>
    </w:p>
    <w:p w14:paraId="123C1CBA" w14:textId="2726C052" w:rsidR="005D6151" w:rsidRDefault="005D6151" w:rsidP="002724F4">
      <w:pPr>
        <w:spacing w:line="276" w:lineRule="auto"/>
        <w:jc w:val="both"/>
        <w:rPr>
          <w:rFonts w:ascii="Invesco Interstate Light" w:hAnsi="Invesco Interstate Light"/>
          <w:sz w:val="22"/>
          <w:szCs w:val="22"/>
        </w:rPr>
      </w:pPr>
    </w:p>
    <w:p w14:paraId="14ACDED6" w14:textId="46ED7170" w:rsidR="005D6151" w:rsidRDefault="005D6151" w:rsidP="002724F4">
      <w:pPr>
        <w:spacing w:line="276" w:lineRule="auto"/>
        <w:jc w:val="both"/>
        <w:rPr>
          <w:rFonts w:ascii="Invesco Interstate Light" w:hAnsi="Invesco Interstate Light"/>
          <w:sz w:val="22"/>
          <w:szCs w:val="22"/>
        </w:rPr>
      </w:pPr>
    </w:p>
    <w:p w14:paraId="1E25AA49" w14:textId="260268C5" w:rsidR="005D6151" w:rsidRDefault="005D6151" w:rsidP="002724F4">
      <w:pPr>
        <w:spacing w:line="276" w:lineRule="auto"/>
        <w:jc w:val="both"/>
        <w:rPr>
          <w:rFonts w:ascii="Invesco Interstate Light" w:hAnsi="Invesco Interstate Light"/>
          <w:sz w:val="22"/>
          <w:szCs w:val="22"/>
        </w:rPr>
      </w:pPr>
    </w:p>
    <w:p w14:paraId="457A1486" w14:textId="7772330A" w:rsidR="005D6151" w:rsidRDefault="005D6151" w:rsidP="002724F4">
      <w:pPr>
        <w:spacing w:line="276" w:lineRule="auto"/>
        <w:jc w:val="both"/>
        <w:rPr>
          <w:rFonts w:ascii="Invesco Interstate Light" w:hAnsi="Invesco Interstate Light"/>
          <w:sz w:val="22"/>
          <w:szCs w:val="22"/>
        </w:rPr>
      </w:pPr>
    </w:p>
    <w:p w14:paraId="731D0915" w14:textId="3BF24D9C" w:rsidR="005D6151" w:rsidRDefault="005D6151" w:rsidP="002724F4">
      <w:pPr>
        <w:spacing w:line="276" w:lineRule="auto"/>
        <w:jc w:val="both"/>
        <w:rPr>
          <w:rFonts w:ascii="Invesco Interstate Light" w:hAnsi="Invesco Interstate Light"/>
          <w:sz w:val="22"/>
          <w:szCs w:val="22"/>
        </w:rPr>
      </w:pPr>
    </w:p>
    <w:p w14:paraId="59983190" w14:textId="3EB23DA0" w:rsidR="005D6151" w:rsidRDefault="005D6151" w:rsidP="002724F4">
      <w:pPr>
        <w:spacing w:line="276" w:lineRule="auto"/>
        <w:jc w:val="both"/>
        <w:rPr>
          <w:rFonts w:ascii="Invesco Interstate Light" w:hAnsi="Invesco Interstate Light"/>
          <w:sz w:val="22"/>
          <w:szCs w:val="22"/>
        </w:rPr>
      </w:pPr>
    </w:p>
    <w:p w14:paraId="56F2F492" w14:textId="419D6FE3" w:rsidR="005D6151" w:rsidRDefault="005D6151" w:rsidP="002724F4">
      <w:pPr>
        <w:spacing w:line="276" w:lineRule="auto"/>
        <w:jc w:val="both"/>
        <w:rPr>
          <w:rFonts w:ascii="Invesco Interstate Light" w:hAnsi="Invesco Interstate Light"/>
          <w:sz w:val="22"/>
          <w:szCs w:val="22"/>
        </w:rPr>
      </w:pPr>
    </w:p>
    <w:p w14:paraId="4FDA320D" w14:textId="00BF0DB8" w:rsidR="005D6151" w:rsidRDefault="005D6151" w:rsidP="002724F4">
      <w:pPr>
        <w:spacing w:line="276" w:lineRule="auto"/>
        <w:jc w:val="both"/>
        <w:rPr>
          <w:rFonts w:ascii="Invesco Interstate Light" w:hAnsi="Invesco Interstate Light"/>
          <w:sz w:val="22"/>
          <w:szCs w:val="22"/>
        </w:rPr>
      </w:pPr>
    </w:p>
    <w:p w14:paraId="3C7DFC06" w14:textId="483A4427" w:rsidR="005D6151" w:rsidRDefault="005D6151" w:rsidP="002724F4">
      <w:pPr>
        <w:spacing w:line="276" w:lineRule="auto"/>
        <w:jc w:val="both"/>
        <w:rPr>
          <w:rFonts w:ascii="Invesco Interstate Light" w:hAnsi="Invesco Interstate Light"/>
          <w:sz w:val="22"/>
          <w:szCs w:val="22"/>
        </w:rPr>
      </w:pPr>
    </w:p>
    <w:p w14:paraId="7E556687" w14:textId="1DC8CE57" w:rsidR="005D6151" w:rsidRDefault="005D6151" w:rsidP="002724F4">
      <w:pPr>
        <w:spacing w:line="276" w:lineRule="auto"/>
        <w:jc w:val="both"/>
        <w:rPr>
          <w:rFonts w:ascii="Invesco Interstate Light" w:hAnsi="Invesco Interstate Light"/>
          <w:sz w:val="22"/>
          <w:szCs w:val="22"/>
        </w:rPr>
      </w:pPr>
    </w:p>
    <w:p w14:paraId="3BA0AD3B" w14:textId="77777777" w:rsidR="005D6151" w:rsidRPr="002724F4" w:rsidRDefault="005D6151" w:rsidP="002724F4">
      <w:pPr>
        <w:spacing w:line="276" w:lineRule="auto"/>
        <w:jc w:val="both"/>
        <w:rPr>
          <w:rFonts w:ascii="Invesco Interstate Light" w:hAnsi="Invesco Interstate Light"/>
          <w:sz w:val="22"/>
          <w:szCs w:val="22"/>
        </w:rPr>
      </w:pPr>
    </w:p>
    <w:p w14:paraId="389DF65C" w14:textId="77777777" w:rsidR="00283E34" w:rsidRPr="00283E34" w:rsidRDefault="00283E34" w:rsidP="00513F36">
      <w:pPr>
        <w:spacing w:line="240" w:lineRule="auto"/>
        <w:jc w:val="both"/>
        <w:rPr>
          <w:rFonts w:ascii="Invesco Interstate Light" w:hAnsi="Invesco Interstate Light"/>
          <w:sz w:val="22"/>
          <w:szCs w:val="22"/>
        </w:rPr>
      </w:pPr>
    </w:p>
    <w:p w14:paraId="6EFB0692" w14:textId="7EA7A24E" w:rsidR="00932BE3" w:rsidRPr="00932BE3" w:rsidRDefault="00932BE3" w:rsidP="00932BE3">
      <w:pPr>
        <w:rPr>
          <w:rFonts w:ascii="Invesco Interstate Bold" w:hAnsi="Invesco Interstate Bold"/>
          <w:b/>
          <w:bCs/>
          <w:sz w:val="24"/>
          <w:szCs w:val="24"/>
        </w:rPr>
      </w:pPr>
      <w:r>
        <w:rPr>
          <w:rFonts w:ascii="Invesco Interstate Bold" w:hAnsi="Invesco Interstate Bold"/>
          <w:b/>
          <w:bCs/>
          <w:sz w:val="24"/>
          <w:szCs w:val="24"/>
        </w:rPr>
        <w:lastRenderedPageBreak/>
        <w:t xml:space="preserve">Graf </w:t>
      </w:r>
      <w:r w:rsidR="005D6151">
        <w:rPr>
          <w:rFonts w:ascii="Invesco Interstate Bold" w:hAnsi="Invesco Interstate Bold"/>
          <w:b/>
          <w:bCs/>
          <w:sz w:val="24"/>
          <w:szCs w:val="24"/>
        </w:rPr>
        <w:t>4</w:t>
      </w:r>
      <w:r>
        <w:rPr>
          <w:rFonts w:ascii="Invesco Interstate Bold" w:hAnsi="Invesco Interstate Bold"/>
          <w:b/>
          <w:bCs/>
          <w:sz w:val="24"/>
          <w:szCs w:val="24"/>
        </w:rPr>
        <w:t xml:space="preserve">: </w:t>
      </w:r>
      <w:r w:rsidR="005D6151">
        <w:rPr>
          <w:rFonts w:ascii="Invesco Interstate Bold" w:hAnsi="Invesco Interstate Bold"/>
          <w:b/>
          <w:bCs/>
          <w:sz w:val="24"/>
          <w:szCs w:val="24"/>
        </w:rPr>
        <w:t>EMEA ETF čistá nová aktiva (mld. USD)</w:t>
      </w:r>
      <w:r>
        <w:rPr>
          <w:rFonts w:ascii="Invesco Interstate Bold" w:hAnsi="Invesco Interstate Bold"/>
          <w:b/>
          <w:bCs/>
          <w:sz w:val="24"/>
          <w:szCs w:val="24"/>
        </w:rPr>
        <w:br/>
      </w:r>
    </w:p>
    <w:p w14:paraId="1FAF4590" w14:textId="4BA19FCB" w:rsidR="00A67F1B" w:rsidRDefault="005D6151" w:rsidP="00513F36">
      <w:pPr>
        <w:spacing w:line="240" w:lineRule="auto"/>
        <w:jc w:val="both"/>
        <w:rPr>
          <w:rFonts w:ascii="Invesco Interstate Bold" w:hAnsi="Invesco Interstate Bold"/>
          <w:b/>
          <w:bCs/>
          <w:sz w:val="24"/>
          <w:szCs w:val="24"/>
        </w:rPr>
      </w:pPr>
      <w:r w:rsidRPr="009F5C9D">
        <w:rPr>
          <w:noProof/>
        </w:rPr>
        <w:drawing>
          <wp:inline distT="0" distB="0" distL="0" distR="0" wp14:anchorId="335AAA8D" wp14:editId="6F82C99B">
            <wp:extent cx="2660650" cy="2882900"/>
            <wp:effectExtent l="0" t="0" r="6350" b="0"/>
            <wp:docPr id="3" name="Graf 3">
              <a:extLst xmlns:a="http://schemas.openxmlformats.org/drawingml/2006/main">
                <a:ext uri="{FF2B5EF4-FFF2-40B4-BE49-F238E27FC236}">
                  <a16:creationId xmlns:a16="http://schemas.microsoft.com/office/drawing/2014/main" id="{0FDD6439-25E2-4C8C-A730-5984CB47C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31BD08" w14:textId="0D39E914" w:rsidR="00E77B5C" w:rsidRPr="005D6151" w:rsidRDefault="005D6151" w:rsidP="005D6151">
      <w:pPr>
        <w:jc w:val="both"/>
        <w:rPr>
          <w:rFonts w:ascii="Invesco Interstate Light" w:hAnsi="Invesco Interstate Light"/>
          <w:i/>
          <w:iCs/>
          <w:sz w:val="22"/>
          <w:szCs w:val="22"/>
        </w:rPr>
      </w:pPr>
      <w:r w:rsidRPr="005D6151">
        <w:rPr>
          <w:rFonts w:ascii="Invesco Interstate Light" w:hAnsi="Invesco Interstate Light"/>
          <w:i/>
          <w:iCs/>
          <w:sz w:val="22"/>
          <w:szCs w:val="22"/>
        </w:rPr>
        <w:t>Zdroj: Data ETFGI pocházejí od sponzorů ETF/ETP, burz, regulatorních hlášení, Thomson Reuters/Lipper, Bloomberg, k 31. březnu 2022. Aktiva v % od společnosti Morningstar, k 28. únoru 2022. NNA = čistá nová aktiva.</w:t>
      </w:r>
    </w:p>
    <w:p w14:paraId="63520CB3" w14:textId="5DBE0D5C" w:rsidR="00E77B5C" w:rsidRDefault="00E77B5C" w:rsidP="00E77B5C">
      <w:pPr>
        <w:spacing w:line="276" w:lineRule="auto"/>
        <w:jc w:val="both"/>
        <w:rPr>
          <w:rFonts w:ascii="Invesco Interstate Light" w:hAnsi="Invesco Interstate Light"/>
          <w:sz w:val="22"/>
          <w:szCs w:val="22"/>
        </w:rPr>
      </w:pPr>
    </w:p>
    <w:p w14:paraId="08B83A9F" w14:textId="69ED384F" w:rsidR="00E77B5C" w:rsidRPr="00E77B5C" w:rsidRDefault="00E77B5C" w:rsidP="00E77B5C">
      <w:pPr>
        <w:rPr>
          <w:rFonts w:ascii="Invesco Interstate Bold" w:hAnsi="Invesco Interstate Bold"/>
          <w:b/>
          <w:bCs/>
          <w:sz w:val="24"/>
          <w:szCs w:val="24"/>
        </w:rPr>
      </w:pPr>
      <w:r w:rsidRPr="00E77B5C">
        <w:rPr>
          <w:rFonts w:ascii="Invesco Interstate Bold" w:hAnsi="Invesco Interstate Bold"/>
          <w:b/>
          <w:bCs/>
          <w:sz w:val="24"/>
          <w:szCs w:val="24"/>
        </w:rPr>
        <w:t xml:space="preserve">Graf </w:t>
      </w:r>
      <w:r w:rsidR="005D6151">
        <w:rPr>
          <w:rFonts w:ascii="Invesco Interstate Bold" w:hAnsi="Invesco Interstate Bold"/>
          <w:b/>
          <w:bCs/>
          <w:sz w:val="24"/>
          <w:szCs w:val="24"/>
        </w:rPr>
        <w:t>5</w:t>
      </w:r>
      <w:r>
        <w:rPr>
          <w:rFonts w:ascii="Invesco Interstate Bold" w:hAnsi="Invesco Interstate Bold"/>
          <w:b/>
          <w:bCs/>
          <w:sz w:val="24"/>
          <w:szCs w:val="24"/>
        </w:rPr>
        <w:t>:</w:t>
      </w:r>
      <w:r w:rsidRPr="00E77B5C">
        <w:rPr>
          <w:rFonts w:ascii="Invesco Interstate Bold" w:hAnsi="Invesco Interstate Bold"/>
          <w:b/>
          <w:bCs/>
          <w:sz w:val="24"/>
          <w:szCs w:val="24"/>
        </w:rPr>
        <w:t xml:space="preserve"> </w:t>
      </w:r>
      <w:r w:rsidR="005D6151">
        <w:rPr>
          <w:rFonts w:ascii="Invesco Interstate Bold" w:hAnsi="Invesco Interstate Bold"/>
          <w:b/>
          <w:bCs/>
          <w:sz w:val="24"/>
          <w:szCs w:val="24"/>
        </w:rPr>
        <w:t>Celkový trh ETF v regionu EMEA (v mil. USD)</w:t>
      </w:r>
    </w:p>
    <w:p w14:paraId="5F13768F" w14:textId="77777777" w:rsidR="00E77B5C" w:rsidRPr="00E77B5C" w:rsidRDefault="00E77B5C" w:rsidP="00E77B5C">
      <w:pPr>
        <w:spacing w:line="276" w:lineRule="auto"/>
        <w:jc w:val="both"/>
        <w:rPr>
          <w:rFonts w:ascii="Invesco Interstate Light" w:hAnsi="Invesco Interstate Light"/>
          <w:sz w:val="22"/>
          <w:szCs w:val="22"/>
        </w:rPr>
      </w:pPr>
    </w:p>
    <w:p w14:paraId="53485196" w14:textId="09503E3C" w:rsidR="00E77B5C" w:rsidRDefault="005D6151" w:rsidP="00932BE3">
      <w:pPr>
        <w:spacing w:line="276" w:lineRule="auto"/>
        <w:jc w:val="both"/>
        <w:rPr>
          <w:rFonts w:ascii="Invesco Interstate Light" w:hAnsi="Invesco Interstate Light"/>
          <w:sz w:val="22"/>
          <w:szCs w:val="22"/>
        </w:rPr>
      </w:pPr>
      <w:r w:rsidRPr="0074272D">
        <w:rPr>
          <w:noProof/>
        </w:rPr>
        <w:drawing>
          <wp:inline distT="0" distB="0" distL="0" distR="0" wp14:anchorId="5998DEE2" wp14:editId="7B7259AD">
            <wp:extent cx="2659062" cy="2882900"/>
            <wp:effectExtent l="0" t="0" r="8255" b="0"/>
            <wp:docPr id="6" name="Graf 6">
              <a:extLst xmlns:a="http://schemas.openxmlformats.org/drawingml/2006/main">
                <a:ext uri="{FF2B5EF4-FFF2-40B4-BE49-F238E27FC236}">
                  <a16:creationId xmlns:a16="http://schemas.microsoft.com/office/drawing/2014/main" id="{E38C2E30-0473-461E-B779-1C523CEB1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D9BED5" w14:textId="56A3EB75" w:rsidR="005D6151" w:rsidRPr="005D6151" w:rsidRDefault="005D6151" w:rsidP="005D6151">
      <w:pPr>
        <w:jc w:val="both"/>
        <w:rPr>
          <w:rFonts w:ascii="Invesco Interstate Light" w:hAnsi="Invesco Interstate Light"/>
          <w:i/>
          <w:iCs/>
          <w:sz w:val="22"/>
          <w:szCs w:val="22"/>
        </w:rPr>
      </w:pPr>
      <w:r w:rsidRPr="005D6151">
        <w:rPr>
          <w:rFonts w:ascii="Invesco Interstate Light" w:hAnsi="Invesco Interstate Light"/>
          <w:i/>
          <w:iCs/>
          <w:sz w:val="22"/>
          <w:szCs w:val="22"/>
        </w:rPr>
        <w:t>Zdroj: Bloomberg, k 31. březnu 2022, Invesco</w:t>
      </w:r>
    </w:p>
    <w:p w14:paraId="6984CC0A" w14:textId="269483B6" w:rsidR="00D21E92" w:rsidRDefault="00D21E92" w:rsidP="00D21E92">
      <w:pPr>
        <w:jc w:val="both"/>
        <w:rPr>
          <w:rFonts w:ascii="Invesco Interstate Light" w:hAnsi="Invesco Interstate Light"/>
          <w:i/>
          <w:iCs/>
          <w:sz w:val="22"/>
          <w:szCs w:val="22"/>
        </w:rPr>
      </w:pPr>
    </w:p>
    <w:p w14:paraId="18868953" w14:textId="084E4359" w:rsidR="00D21E92" w:rsidRDefault="00D21E92" w:rsidP="00D21E92">
      <w:pPr>
        <w:rPr>
          <w:rFonts w:ascii="Invesco Interstate Light" w:hAnsi="Invesco Interstate Light"/>
          <w:sz w:val="22"/>
          <w:szCs w:val="22"/>
        </w:rPr>
      </w:pPr>
    </w:p>
    <w:p w14:paraId="3D7A721E" w14:textId="1D78B900" w:rsidR="00252413" w:rsidRDefault="00252413" w:rsidP="00D21E92">
      <w:pPr>
        <w:rPr>
          <w:rFonts w:ascii="Invesco Interstate Light" w:hAnsi="Invesco Interstate Light"/>
          <w:sz w:val="22"/>
          <w:szCs w:val="22"/>
        </w:rPr>
      </w:pPr>
    </w:p>
    <w:p w14:paraId="3B5DEF25" w14:textId="1DAC367C" w:rsidR="00252413" w:rsidRDefault="00252413" w:rsidP="00D21E92">
      <w:pPr>
        <w:rPr>
          <w:rFonts w:ascii="Invesco Interstate Light" w:hAnsi="Invesco Interstate Light"/>
          <w:sz w:val="22"/>
          <w:szCs w:val="22"/>
        </w:rPr>
      </w:pPr>
    </w:p>
    <w:p w14:paraId="72B2F6EE" w14:textId="56B7F807" w:rsidR="00252413" w:rsidRDefault="00252413" w:rsidP="00D21E92">
      <w:pPr>
        <w:rPr>
          <w:rFonts w:ascii="Invesco Interstate Light" w:hAnsi="Invesco Interstate Light"/>
          <w:sz w:val="22"/>
          <w:szCs w:val="22"/>
        </w:rPr>
      </w:pPr>
    </w:p>
    <w:p w14:paraId="6AB31036" w14:textId="7281E87E" w:rsidR="00252413" w:rsidRDefault="00252413" w:rsidP="00D21E92">
      <w:pPr>
        <w:rPr>
          <w:rFonts w:ascii="Invesco Interstate Light" w:hAnsi="Invesco Interstate Light"/>
          <w:sz w:val="22"/>
          <w:szCs w:val="22"/>
        </w:rPr>
      </w:pPr>
    </w:p>
    <w:p w14:paraId="179A847A" w14:textId="77777777" w:rsidR="00252413" w:rsidRDefault="00252413" w:rsidP="00D21E92">
      <w:pPr>
        <w:rPr>
          <w:rFonts w:ascii="Invesco Interstate Light" w:hAnsi="Invesco Interstate Light"/>
          <w:sz w:val="22"/>
          <w:szCs w:val="22"/>
        </w:rPr>
      </w:pPr>
    </w:p>
    <w:p w14:paraId="5AEA4B26" w14:textId="5824B085" w:rsidR="005D6151" w:rsidRDefault="005D6151" w:rsidP="005D6151">
      <w:pPr>
        <w:rPr>
          <w:rFonts w:ascii="Invesco Interstate Bold" w:hAnsi="Invesco Interstate Bold"/>
          <w:b/>
          <w:bCs/>
          <w:sz w:val="24"/>
          <w:szCs w:val="24"/>
        </w:rPr>
      </w:pPr>
      <w:r w:rsidRPr="00E77B5C">
        <w:rPr>
          <w:rFonts w:ascii="Invesco Interstate Bold" w:hAnsi="Invesco Interstate Bold"/>
          <w:b/>
          <w:bCs/>
          <w:sz w:val="24"/>
          <w:szCs w:val="24"/>
        </w:rPr>
        <w:lastRenderedPageBreak/>
        <w:t xml:space="preserve">Graf </w:t>
      </w:r>
      <w:r>
        <w:rPr>
          <w:rFonts w:ascii="Invesco Interstate Bold" w:hAnsi="Invesco Interstate Bold"/>
          <w:b/>
          <w:bCs/>
          <w:sz w:val="24"/>
          <w:szCs w:val="24"/>
        </w:rPr>
        <w:t>6</w:t>
      </w:r>
      <w:r>
        <w:rPr>
          <w:rFonts w:ascii="Invesco Interstate Bold" w:hAnsi="Invesco Interstate Bold"/>
          <w:b/>
          <w:bCs/>
          <w:sz w:val="24"/>
          <w:szCs w:val="24"/>
        </w:rPr>
        <w:t>:</w:t>
      </w:r>
      <w:r w:rsidRPr="00E77B5C">
        <w:rPr>
          <w:rFonts w:ascii="Invesco Interstate Bold" w:hAnsi="Invesco Interstate Bold"/>
          <w:b/>
          <w:bCs/>
          <w:sz w:val="24"/>
          <w:szCs w:val="24"/>
        </w:rPr>
        <w:t xml:space="preserve"> </w:t>
      </w:r>
      <w:r w:rsidR="00252413">
        <w:rPr>
          <w:rFonts w:ascii="Invesco Interstate Bold" w:hAnsi="Invesco Interstate Bold"/>
          <w:b/>
          <w:bCs/>
          <w:sz w:val="24"/>
          <w:szCs w:val="24"/>
        </w:rPr>
        <w:t>ETF Invesco EMEA (v mld. USD)</w:t>
      </w:r>
    </w:p>
    <w:p w14:paraId="6FC18018" w14:textId="1294B829" w:rsidR="00E77B5C" w:rsidRPr="00932BE3" w:rsidRDefault="00252413" w:rsidP="00932BE3">
      <w:pPr>
        <w:spacing w:line="276" w:lineRule="auto"/>
        <w:jc w:val="both"/>
        <w:rPr>
          <w:rFonts w:ascii="Invesco Interstate Light" w:hAnsi="Invesco Interstate Light"/>
          <w:sz w:val="22"/>
          <w:szCs w:val="22"/>
        </w:rPr>
      </w:pPr>
      <w:r w:rsidRPr="0074272D">
        <w:rPr>
          <w:noProof/>
        </w:rPr>
        <w:drawing>
          <wp:anchor distT="0" distB="0" distL="114300" distR="114300" simplePos="0" relativeHeight="251661312" behindDoc="0" locked="0" layoutInCell="1" allowOverlap="1" wp14:anchorId="7D6ED447" wp14:editId="6E69A833">
            <wp:simplePos x="0" y="0"/>
            <wp:positionH relativeFrom="margin">
              <wp:align>left</wp:align>
            </wp:positionH>
            <wp:positionV relativeFrom="paragraph">
              <wp:posOffset>50165</wp:posOffset>
            </wp:positionV>
            <wp:extent cx="2661920" cy="2882900"/>
            <wp:effectExtent l="0" t="0" r="5080" b="0"/>
            <wp:wrapNone/>
            <wp:docPr id="9" name="Graf 9">
              <a:extLst xmlns:a="http://schemas.openxmlformats.org/drawingml/2006/main">
                <a:ext uri="{FF2B5EF4-FFF2-40B4-BE49-F238E27FC236}">
                  <a16:creationId xmlns:a16="http://schemas.microsoft.com/office/drawing/2014/main" id="{4FD371CC-EB24-4F15-9415-2F389B9A7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7AF3139" w14:textId="14B1CA64"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3A9F1E5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56CC0E19"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25152841"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5D2721BF"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4AF2758C"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20497E76"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15414B74"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48A7627B"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567B45C8"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3B742FB4"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64DA18FD"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2144BDA1"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5453F423"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13174FE3"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0FDC1B3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2D890261" w14:textId="77777777" w:rsidR="00252413" w:rsidRPr="00252413" w:rsidRDefault="00252413" w:rsidP="00252413">
      <w:pPr>
        <w:rPr>
          <w:rFonts w:ascii="Invesco Interstate Light" w:hAnsi="Invesco Interstate Light"/>
          <w:i/>
          <w:iCs/>
          <w:sz w:val="22"/>
          <w:szCs w:val="22"/>
        </w:rPr>
      </w:pPr>
      <w:r w:rsidRPr="00252413">
        <w:rPr>
          <w:rFonts w:ascii="Invesco Interstate Light" w:hAnsi="Invesco Interstate Light"/>
          <w:i/>
          <w:iCs/>
          <w:sz w:val="22"/>
          <w:szCs w:val="22"/>
        </w:rPr>
        <w:t>Zdroj: Invesco</w:t>
      </w:r>
    </w:p>
    <w:p w14:paraId="553590A1" w14:textId="6666AC4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0BEC1476" w14:textId="7AD99F39"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09BE3BE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267CA9A" w14:textId="77777777" w:rsidR="002355DD" w:rsidRPr="00873CBF" w:rsidRDefault="00FB5FBA" w:rsidP="002355DD">
      <w:pPr>
        <w:spacing w:line="240" w:lineRule="exact"/>
        <w:rPr>
          <w:rFonts w:ascii="Invesco Interstate Light" w:hAnsi="Invesco Interstate Light"/>
          <w:sz w:val="22"/>
          <w:szCs w:val="22"/>
        </w:rPr>
      </w:pPr>
      <w:hyperlink w:tooltip="blocked::http://www.crestcom.cz&#10;http://www.crestcom.cz/" w:history="1">
        <w:r w:rsidR="002355DD" w:rsidRPr="00873CBF">
          <w:rPr>
            <w:rFonts w:ascii="Invesco Interstate Light" w:hAnsi="Invesco Interstate Light"/>
            <w:sz w:val="22"/>
            <w:szCs w:val="22"/>
          </w:rPr>
          <w:t>www.crestcom.cz</w:t>
        </w:r>
      </w:hyperlink>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7"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8"/>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F52C" w14:textId="77777777" w:rsidR="00D87CB0" w:rsidRDefault="00D87CB0">
      <w:r>
        <w:separator/>
      </w:r>
    </w:p>
  </w:endnote>
  <w:endnote w:type="continuationSeparator" w:id="0">
    <w:p w14:paraId="26C28CCE" w14:textId="77777777" w:rsidR="00D87CB0" w:rsidRDefault="00D87CB0">
      <w:r>
        <w:continuationSeparator/>
      </w:r>
    </w:p>
  </w:endnote>
  <w:endnote w:type="continuationNotice" w:id="1">
    <w:p w14:paraId="79D69524" w14:textId="77777777" w:rsidR="00D87CB0" w:rsidRDefault="00D87C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50DB" w14:textId="77777777" w:rsidR="00D87CB0" w:rsidRDefault="00D87CB0">
      <w:r>
        <w:separator/>
      </w:r>
    </w:p>
  </w:footnote>
  <w:footnote w:type="continuationSeparator" w:id="0">
    <w:p w14:paraId="341A9DE7" w14:textId="77777777" w:rsidR="00D87CB0" w:rsidRDefault="00D87CB0">
      <w:r>
        <w:continuationSeparator/>
      </w:r>
    </w:p>
  </w:footnote>
  <w:footnote w:type="continuationNotice" w:id="1">
    <w:p w14:paraId="377074B4" w14:textId="77777777" w:rsidR="00D87CB0" w:rsidRDefault="00D87C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D70"/>
    <w:multiLevelType w:val="multilevel"/>
    <w:tmpl w:val="11820CCE"/>
    <w:numStyleLink w:val="FormatvorlageAufgezhlt"/>
  </w:abstractNum>
  <w:abstractNum w:abstractNumId="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30B23"/>
    <w:multiLevelType w:val="multilevel"/>
    <w:tmpl w:val="11820CCE"/>
    <w:numStyleLink w:val="FormatvorlageAufgezhlt"/>
  </w:abstractNum>
  <w:abstractNum w:abstractNumId="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403C3"/>
    <w:multiLevelType w:val="multilevel"/>
    <w:tmpl w:val="11820CCE"/>
    <w:numStyleLink w:val="FormatvorlageAufgezhlt"/>
  </w:abstractNum>
  <w:abstractNum w:abstractNumId="12" w15:restartNumberingAfterBreak="0">
    <w:nsid w:val="6C6C4721"/>
    <w:multiLevelType w:val="multilevel"/>
    <w:tmpl w:val="11820CCE"/>
    <w:numStyleLink w:val="FormatvorlageAufgezhlt"/>
  </w:abstractNum>
  <w:abstractNum w:abstractNumId="13" w15:restartNumberingAfterBreak="0">
    <w:nsid w:val="74E5380B"/>
    <w:multiLevelType w:val="multilevel"/>
    <w:tmpl w:val="11820CCE"/>
    <w:numStyleLink w:val="FormatvorlageAufgezhlt"/>
  </w:abstractNum>
  <w:abstractNum w:abstractNumId="1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525369">
    <w:abstractNumId w:val="0"/>
  </w:num>
  <w:num w:numId="2" w16cid:durableId="127433335">
    <w:abstractNumId w:val="6"/>
  </w:num>
  <w:num w:numId="3" w16cid:durableId="228467698">
    <w:abstractNumId w:val="10"/>
  </w:num>
  <w:num w:numId="4" w16cid:durableId="1869685540">
    <w:abstractNumId w:val="7"/>
  </w:num>
  <w:num w:numId="5" w16cid:durableId="892040465">
    <w:abstractNumId w:val="8"/>
  </w:num>
  <w:num w:numId="6" w16cid:durableId="479813797">
    <w:abstractNumId w:val="11"/>
  </w:num>
  <w:num w:numId="7" w16cid:durableId="1352416196">
    <w:abstractNumId w:val="12"/>
  </w:num>
  <w:num w:numId="8" w16cid:durableId="807011539">
    <w:abstractNumId w:val="1"/>
  </w:num>
  <w:num w:numId="9" w16cid:durableId="1936985311">
    <w:abstractNumId w:val="13"/>
  </w:num>
  <w:num w:numId="10" w16cid:durableId="1508330406">
    <w:abstractNumId w:val="5"/>
  </w:num>
  <w:num w:numId="11" w16cid:durableId="593055465">
    <w:abstractNumId w:val="2"/>
  </w:num>
  <w:num w:numId="12" w16cid:durableId="1127773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976211">
    <w:abstractNumId w:val="14"/>
  </w:num>
  <w:num w:numId="14" w16cid:durableId="1338580877">
    <w:abstractNumId w:val="15"/>
  </w:num>
  <w:num w:numId="15" w16cid:durableId="907573463">
    <w:abstractNumId w:val="9"/>
  </w:num>
  <w:num w:numId="16" w16cid:durableId="1704600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blonfs09\general\Product%20Management\Product%20Material\Equities\Primary%20benchmarks\ESG\Data\ETF%20AUMs%20and%20TE%20tradeoff%20scatt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3868310446768"/>
          <c:y val="0.11659532293068826"/>
          <c:w val="0.82372664707377441"/>
          <c:h val="0.6034322564648299"/>
        </c:manualLayout>
      </c:layout>
      <c:areaChart>
        <c:grouping val="stacked"/>
        <c:varyColors val="0"/>
        <c:ser>
          <c:idx val="0"/>
          <c:order val="0"/>
          <c:tx>
            <c:strRef>
              <c:f>Sheet1!$B$1</c:f>
              <c:strCache>
                <c:ptCount val="1"/>
                <c:pt idx="0">
                  <c:v>US</c:v>
                </c:pt>
              </c:strCache>
            </c:strRef>
          </c:tx>
          <c:spPr>
            <a:solidFill>
              <a:schemeClr val="accent1"/>
            </a:solidFill>
            <a:ln>
              <a:noFill/>
            </a:ln>
            <a:effectLst/>
          </c:spPr>
          <c:cat>
            <c:strRef>
              <c:f>Sheet1!$A$2:$A$17</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 YTD</c:v>
                </c:pt>
              </c:strCache>
            </c:strRef>
          </c:cat>
          <c:val>
            <c:numRef>
              <c:f>Sheet1!$B$2:$B$17</c:f>
              <c:numCache>
                <c:formatCode>General</c:formatCode>
                <c:ptCount val="16"/>
                <c:pt idx="0">
                  <c:v>621</c:v>
                </c:pt>
                <c:pt idx="1">
                  <c:v>539</c:v>
                </c:pt>
                <c:pt idx="2">
                  <c:v>790</c:v>
                </c:pt>
                <c:pt idx="3">
                  <c:v>1009</c:v>
                </c:pt>
                <c:pt idx="4">
                  <c:v>1060</c:v>
                </c:pt>
                <c:pt idx="5">
                  <c:v>1347</c:v>
                </c:pt>
                <c:pt idx="6">
                  <c:v>1698</c:v>
                </c:pt>
                <c:pt idx="7">
                  <c:v>2002</c:v>
                </c:pt>
                <c:pt idx="8">
                  <c:v>2130</c:v>
                </c:pt>
                <c:pt idx="9">
                  <c:v>2549</c:v>
                </c:pt>
                <c:pt idx="10">
                  <c:v>3423</c:v>
                </c:pt>
                <c:pt idx="11">
                  <c:v>3391</c:v>
                </c:pt>
                <c:pt idx="12">
                  <c:v>4419</c:v>
                </c:pt>
                <c:pt idx="13">
                  <c:v>5467</c:v>
                </c:pt>
                <c:pt idx="14">
                  <c:v>7210</c:v>
                </c:pt>
                <c:pt idx="15">
                  <c:v>7045</c:v>
                </c:pt>
              </c:numCache>
            </c:numRef>
          </c:val>
          <c:extLst>
            <c:ext xmlns:c16="http://schemas.microsoft.com/office/drawing/2014/chart" uri="{C3380CC4-5D6E-409C-BE32-E72D297353CC}">
              <c16:uniqueId val="{00000000-8462-4C96-A149-4F79C4D44CE8}"/>
            </c:ext>
          </c:extLst>
        </c:ser>
        <c:ser>
          <c:idx val="1"/>
          <c:order val="1"/>
          <c:tx>
            <c:strRef>
              <c:f>Sheet1!$C$1</c:f>
              <c:strCache>
                <c:ptCount val="1"/>
                <c:pt idx="0">
                  <c:v>Europe</c:v>
                </c:pt>
              </c:strCache>
            </c:strRef>
          </c:tx>
          <c:spPr>
            <a:solidFill>
              <a:schemeClr val="accent2"/>
            </a:solidFill>
            <a:ln>
              <a:noFill/>
            </a:ln>
            <a:effectLst/>
          </c:spPr>
          <c:cat>
            <c:strRef>
              <c:f>Sheet1!$A$2:$A$17</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 YTD</c:v>
                </c:pt>
              </c:strCache>
            </c:strRef>
          </c:cat>
          <c:val>
            <c:numRef>
              <c:f>Sheet1!$C$2:$C$17</c:f>
              <c:numCache>
                <c:formatCode>General</c:formatCode>
                <c:ptCount val="16"/>
                <c:pt idx="0">
                  <c:v>138</c:v>
                </c:pt>
                <c:pt idx="1">
                  <c:v>152</c:v>
                </c:pt>
                <c:pt idx="2">
                  <c:v>245</c:v>
                </c:pt>
                <c:pt idx="3">
                  <c:v>313</c:v>
                </c:pt>
                <c:pt idx="4">
                  <c:v>300</c:v>
                </c:pt>
                <c:pt idx="5">
                  <c:v>369</c:v>
                </c:pt>
                <c:pt idx="6">
                  <c:v>418</c:v>
                </c:pt>
                <c:pt idx="7">
                  <c:v>458</c:v>
                </c:pt>
                <c:pt idx="8">
                  <c:v>505</c:v>
                </c:pt>
                <c:pt idx="9">
                  <c:v>573</c:v>
                </c:pt>
                <c:pt idx="10">
                  <c:v>802</c:v>
                </c:pt>
                <c:pt idx="11">
                  <c:v>768</c:v>
                </c:pt>
                <c:pt idx="12">
                  <c:v>1031</c:v>
                </c:pt>
                <c:pt idx="13">
                  <c:v>1284</c:v>
                </c:pt>
                <c:pt idx="14">
                  <c:v>1600</c:v>
                </c:pt>
                <c:pt idx="15">
                  <c:v>1580</c:v>
                </c:pt>
              </c:numCache>
            </c:numRef>
          </c:val>
          <c:extLst>
            <c:ext xmlns:c16="http://schemas.microsoft.com/office/drawing/2014/chart" uri="{C3380CC4-5D6E-409C-BE32-E72D297353CC}">
              <c16:uniqueId val="{00000001-8462-4C96-A149-4F79C4D44CE8}"/>
            </c:ext>
          </c:extLst>
        </c:ser>
        <c:ser>
          <c:idx val="2"/>
          <c:order val="2"/>
          <c:tx>
            <c:strRef>
              <c:f>Sheet1!$D$1</c:f>
              <c:strCache>
                <c:ptCount val="1"/>
                <c:pt idx="0">
                  <c:v>Asia</c:v>
                </c:pt>
              </c:strCache>
            </c:strRef>
          </c:tx>
          <c:spPr>
            <a:solidFill>
              <a:schemeClr val="accent3"/>
            </a:solidFill>
            <a:ln w="25400">
              <a:noFill/>
            </a:ln>
            <a:effectLst/>
          </c:spPr>
          <c:cat>
            <c:strRef>
              <c:f>Sheet1!$A$2:$A$17</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 YTD</c:v>
                </c:pt>
              </c:strCache>
            </c:strRef>
          </c:cat>
          <c:val>
            <c:numRef>
              <c:f>Sheet1!$D$2:$D$17</c:f>
              <c:numCache>
                <c:formatCode>General</c:formatCode>
                <c:ptCount val="16"/>
                <c:pt idx="0">
                  <c:v>62</c:v>
                </c:pt>
                <c:pt idx="1">
                  <c:v>53</c:v>
                </c:pt>
                <c:pt idx="2">
                  <c:v>66</c:v>
                </c:pt>
                <c:pt idx="3">
                  <c:v>87</c:v>
                </c:pt>
                <c:pt idx="4">
                  <c:v>94</c:v>
                </c:pt>
                <c:pt idx="5">
                  <c:v>139</c:v>
                </c:pt>
                <c:pt idx="6">
                  <c:v>173</c:v>
                </c:pt>
                <c:pt idx="7">
                  <c:v>208</c:v>
                </c:pt>
                <c:pt idx="8">
                  <c:v>253</c:v>
                </c:pt>
                <c:pt idx="9">
                  <c:v>303</c:v>
                </c:pt>
                <c:pt idx="10">
                  <c:v>446</c:v>
                </c:pt>
                <c:pt idx="11">
                  <c:v>505</c:v>
                </c:pt>
                <c:pt idx="12">
                  <c:v>690</c:v>
                </c:pt>
                <c:pt idx="13">
                  <c:v>980</c:v>
                </c:pt>
                <c:pt idx="14">
                  <c:v>1112</c:v>
                </c:pt>
                <c:pt idx="15">
                  <c:v>993</c:v>
                </c:pt>
              </c:numCache>
            </c:numRef>
          </c:val>
          <c:extLst>
            <c:ext xmlns:c16="http://schemas.microsoft.com/office/drawing/2014/chart" uri="{C3380CC4-5D6E-409C-BE32-E72D297353CC}">
              <c16:uniqueId val="{00000002-8462-4C96-A149-4F79C4D44CE8}"/>
            </c:ext>
          </c:extLst>
        </c:ser>
        <c:ser>
          <c:idx val="3"/>
          <c:order val="3"/>
          <c:tx>
            <c:strRef>
              <c:f>Sheet1!$E$1</c:f>
              <c:strCache>
                <c:ptCount val="1"/>
                <c:pt idx="0">
                  <c:v>Canada</c:v>
                </c:pt>
              </c:strCache>
            </c:strRef>
          </c:tx>
          <c:spPr>
            <a:solidFill>
              <a:schemeClr val="accent6"/>
            </a:solidFill>
            <a:ln w="25400">
              <a:noFill/>
            </a:ln>
            <a:effectLst/>
          </c:spPr>
          <c:cat>
            <c:strRef>
              <c:f>Sheet1!$A$2:$A$17</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 YTD</c:v>
                </c:pt>
              </c:strCache>
            </c:strRef>
          </c:cat>
          <c:val>
            <c:numRef>
              <c:f>Sheet1!$E$2:$E$17</c:f>
              <c:numCache>
                <c:formatCode>General</c:formatCode>
                <c:ptCount val="16"/>
                <c:pt idx="0">
                  <c:v>18</c:v>
                </c:pt>
                <c:pt idx="1">
                  <c:v>16</c:v>
                </c:pt>
                <c:pt idx="2">
                  <c:v>31</c:v>
                </c:pt>
                <c:pt idx="3">
                  <c:v>38</c:v>
                </c:pt>
                <c:pt idx="4">
                  <c:v>42</c:v>
                </c:pt>
                <c:pt idx="5">
                  <c:v>57</c:v>
                </c:pt>
                <c:pt idx="6">
                  <c:v>59</c:v>
                </c:pt>
                <c:pt idx="7">
                  <c:v>66</c:v>
                </c:pt>
                <c:pt idx="8">
                  <c:v>65</c:v>
                </c:pt>
                <c:pt idx="9">
                  <c:v>85</c:v>
                </c:pt>
                <c:pt idx="10">
                  <c:v>117</c:v>
                </c:pt>
                <c:pt idx="11">
                  <c:v>115</c:v>
                </c:pt>
                <c:pt idx="12">
                  <c:v>157</c:v>
                </c:pt>
                <c:pt idx="13">
                  <c:v>202</c:v>
                </c:pt>
                <c:pt idx="14">
                  <c:v>273</c:v>
                </c:pt>
                <c:pt idx="15">
                  <c:v>276</c:v>
                </c:pt>
              </c:numCache>
            </c:numRef>
          </c:val>
          <c:extLst>
            <c:ext xmlns:c16="http://schemas.microsoft.com/office/drawing/2014/chart" uri="{C3380CC4-5D6E-409C-BE32-E72D297353CC}">
              <c16:uniqueId val="{00000003-8462-4C96-A149-4F79C4D44CE8}"/>
            </c:ext>
          </c:extLst>
        </c:ser>
        <c:dLbls>
          <c:showLegendKey val="0"/>
          <c:showVal val="0"/>
          <c:showCatName val="0"/>
          <c:showSerName val="0"/>
          <c:showPercent val="0"/>
          <c:showBubbleSize val="0"/>
        </c:dLbls>
        <c:axId val="1622006368"/>
        <c:axId val="1574521552"/>
      </c:areaChart>
      <c:catAx>
        <c:axId val="16220063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cs-CZ"/>
          </a:p>
        </c:txPr>
        <c:crossAx val="1574521552"/>
        <c:crosses val="autoZero"/>
        <c:auto val="1"/>
        <c:lblAlgn val="ctr"/>
        <c:lblOffset val="100"/>
        <c:tickLblSkip val="1"/>
        <c:noMultiLvlLbl val="0"/>
      </c:catAx>
      <c:valAx>
        <c:axId val="157452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cs-CZ"/>
          </a:p>
        </c:txPr>
        <c:crossAx val="1622006368"/>
        <c:crosses val="autoZero"/>
        <c:crossBetween val="midCat"/>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cs-CZ"/>
        </a:p>
      </c:txPr>
    </c:legend>
    <c:plotVisOnly val="1"/>
    <c:dispBlanksAs val="zero"/>
    <c:showDLblsOverMax val="0"/>
  </c:chart>
  <c:spPr>
    <a:solidFill>
      <a:schemeClr val="bg2"/>
    </a:solidFill>
    <a:ln w="9525" cap="flat" cmpd="sng" algn="ctr">
      <a:noFill/>
      <a:round/>
    </a:ln>
    <a:effectLst/>
  </c:spPr>
  <c:txPr>
    <a:bodyPr/>
    <a:lstStyle/>
    <a:p>
      <a:pPr>
        <a:defRPr sz="900">
          <a:solidFill>
            <a:schemeClr val="tx1"/>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7546958611514"/>
          <c:y val="0.13920386859413003"/>
          <c:w val="0.72625738194706846"/>
          <c:h val="0.66956197119886518"/>
        </c:manualLayout>
      </c:layout>
      <c:doughnutChart>
        <c:varyColors val="1"/>
        <c:ser>
          <c:idx val="0"/>
          <c:order val="0"/>
          <c:tx>
            <c:strRef>
              <c:f>Sheet1!$B$1</c:f>
              <c:strCache>
                <c:ptCount val="1"/>
                <c:pt idx="0">
                  <c:v>% AUM</c:v>
                </c:pt>
              </c:strCache>
            </c:strRef>
          </c:tx>
          <c:spPr>
            <a:ln w="0">
              <a:noFill/>
            </a:ln>
          </c:spPr>
          <c:dPt>
            <c:idx val="0"/>
            <c:bubble3D val="0"/>
            <c:spPr>
              <a:solidFill>
                <a:schemeClr val="accent1"/>
              </a:solidFill>
              <a:ln w="0">
                <a:noFill/>
              </a:ln>
              <a:effectLst/>
            </c:spPr>
            <c:extLst>
              <c:ext xmlns:c16="http://schemas.microsoft.com/office/drawing/2014/chart" uri="{C3380CC4-5D6E-409C-BE32-E72D297353CC}">
                <c16:uniqueId val="{00000001-8D07-4762-B850-96A74A3AFCB4}"/>
              </c:ext>
            </c:extLst>
          </c:dPt>
          <c:dPt>
            <c:idx val="1"/>
            <c:bubble3D val="0"/>
            <c:spPr>
              <a:solidFill>
                <a:schemeClr val="accent2"/>
              </a:solidFill>
              <a:ln w="0">
                <a:noFill/>
              </a:ln>
              <a:effectLst/>
            </c:spPr>
            <c:extLst>
              <c:ext xmlns:c16="http://schemas.microsoft.com/office/drawing/2014/chart" uri="{C3380CC4-5D6E-409C-BE32-E72D297353CC}">
                <c16:uniqueId val="{00000003-8D07-4762-B850-96A74A3AFCB4}"/>
              </c:ext>
            </c:extLst>
          </c:dPt>
          <c:dPt>
            <c:idx val="2"/>
            <c:bubble3D val="0"/>
            <c:spPr>
              <a:solidFill>
                <a:schemeClr val="accent3"/>
              </a:solidFill>
              <a:ln w="0">
                <a:noFill/>
              </a:ln>
              <a:effectLst/>
            </c:spPr>
            <c:extLst>
              <c:ext xmlns:c16="http://schemas.microsoft.com/office/drawing/2014/chart" uri="{C3380CC4-5D6E-409C-BE32-E72D297353CC}">
                <c16:uniqueId val="{00000005-8D07-4762-B850-96A74A3AFCB4}"/>
              </c:ext>
            </c:extLst>
          </c:dPt>
          <c:dPt>
            <c:idx val="3"/>
            <c:bubble3D val="0"/>
            <c:spPr>
              <a:solidFill>
                <a:schemeClr val="accent6"/>
              </a:solidFill>
              <a:ln w="0">
                <a:noFill/>
              </a:ln>
              <a:effectLst/>
            </c:spPr>
            <c:extLst>
              <c:ext xmlns:c16="http://schemas.microsoft.com/office/drawing/2014/chart" uri="{C3380CC4-5D6E-409C-BE32-E72D297353CC}">
                <c16:uniqueId val="{00000007-8D07-4762-B850-96A74A3AFCB4}"/>
              </c:ext>
            </c:extLst>
          </c:dPt>
          <c:dLbls>
            <c:dLbl>
              <c:idx val="3"/>
              <c:delete val="1"/>
              <c:extLst>
                <c:ext xmlns:c15="http://schemas.microsoft.com/office/drawing/2012/chart" uri="{CE6537A1-D6FC-4f65-9D91-7224C49458BB}"/>
                <c:ext xmlns:c16="http://schemas.microsoft.com/office/drawing/2014/chart" uri="{C3380CC4-5D6E-409C-BE32-E72D297353CC}">
                  <c16:uniqueId val="{00000007-8D07-4762-B850-96A74A3AFCB4}"/>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Equity</c:v>
                </c:pt>
                <c:pt idx="1">
                  <c:v>Fixed Income</c:v>
                </c:pt>
                <c:pt idx="2">
                  <c:v>Commodities</c:v>
                </c:pt>
                <c:pt idx="3">
                  <c:v>Other</c:v>
                </c:pt>
              </c:strCache>
            </c:strRef>
          </c:cat>
          <c:val>
            <c:numRef>
              <c:f>Sheet1!$B$2:$B$5</c:f>
              <c:numCache>
                <c:formatCode>0%</c:formatCode>
                <c:ptCount val="4"/>
                <c:pt idx="0">
                  <c:v>0.68382787228632302</c:v>
                </c:pt>
                <c:pt idx="1">
                  <c:v>0.22020003912736899</c:v>
                </c:pt>
                <c:pt idx="2">
                  <c:v>8.8294121238259096E-2</c:v>
                </c:pt>
                <c:pt idx="3">
                  <c:v>7.6779673480489308E-3</c:v>
                </c:pt>
              </c:numCache>
            </c:numRef>
          </c:val>
          <c:extLst>
            <c:ext xmlns:c16="http://schemas.microsoft.com/office/drawing/2014/chart" uri="{C3380CC4-5D6E-409C-BE32-E72D297353CC}">
              <c16:uniqueId val="{00000008-8D07-4762-B850-96A74A3AFCB4}"/>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2"/>
    </a:solidFill>
    <a:ln w="9525" cap="flat" cmpd="sng" algn="ctr">
      <a:noFill/>
      <a:round/>
    </a:ln>
    <a:effectLst/>
  </c:spPr>
  <c:txPr>
    <a:bodyPr/>
    <a:lstStyle/>
    <a:p>
      <a:pPr>
        <a:defRPr sz="800">
          <a:solidFill>
            <a:schemeClr val="tx1"/>
          </a:solidFill>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80336618945893"/>
          <c:y val="0.1091484233256822"/>
          <c:w val="0.79166779522368169"/>
          <c:h val="0.65275418428381105"/>
        </c:manualLayout>
      </c:layout>
      <c:barChart>
        <c:barDir val="col"/>
        <c:grouping val="clustered"/>
        <c:varyColors val="0"/>
        <c:ser>
          <c:idx val="1"/>
          <c:order val="1"/>
          <c:tx>
            <c:strRef>
              <c:f>'ESG ETF Assets'!$E$4</c:f>
              <c:strCache>
                <c:ptCount val="1"/>
                <c:pt idx="0">
                  <c:v>AUM ($m) LHS</c:v>
                </c:pt>
              </c:strCache>
            </c:strRef>
          </c:tx>
          <c:spPr>
            <a:solidFill>
              <a:schemeClr val="accent1"/>
            </a:solidFill>
            <a:ln>
              <a:noFill/>
            </a:ln>
            <a:effectLst/>
          </c:spPr>
          <c:invertIfNegative val="0"/>
          <c:cat>
            <c:strRef>
              <c:f>'ESG ETF Assets'!$C$5:$C$14</c:f>
              <c:strCache>
                <c:ptCount val="10"/>
                <c:pt idx="0">
                  <c:v>2013</c:v>
                </c:pt>
                <c:pt idx="1">
                  <c:v>2014</c:v>
                </c:pt>
                <c:pt idx="2">
                  <c:v>2015</c:v>
                </c:pt>
                <c:pt idx="3">
                  <c:v>2016</c:v>
                </c:pt>
                <c:pt idx="4">
                  <c:v>2017</c:v>
                </c:pt>
                <c:pt idx="5">
                  <c:v>2018</c:v>
                </c:pt>
                <c:pt idx="6">
                  <c:v>2019</c:v>
                </c:pt>
                <c:pt idx="7">
                  <c:v>2020</c:v>
                </c:pt>
                <c:pt idx="8">
                  <c:v>2021</c:v>
                </c:pt>
                <c:pt idx="9">
                  <c:v>2022 YTD</c:v>
                </c:pt>
              </c:strCache>
            </c:strRef>
          </c:cat>
          <c:val>
            <c:numRef>
              <c:f>'ESG ETF Assets'!$E$5:$E$14</c:f>
              <c:numCache>
                <c:formatCode>#,##0</c:formatCode>
                <c:ptCount val="10"/>
                <c:pt idx="0">
                  <c:v>2223</c:v>
                </c:pt>
                <c:pt idx="1">
                  <c:v>3232</c:v>
                </c:pt>
                <c:pt idx="2">
                  <c:v>4649</c:v>
                </c:pt>
                <c:pt idx="3">
                  <c:v>5999</c:v>
                </c:pt>
                <c:pt idx="4">
                  <c:v>10878</c:v>
                </c:pt>
                <c:pt idx="5">
                  <c:v>14097</c:v>
                </c:pt>
                <c:pt idx="6">
                  <c:v>34490</c:v>
                </c:pt>
                <c:pt idx="7" formatCode="General">
                  <c:v>100784</c:v>
                </c:pt>
                <c:pt idx="8">
                  <c:v>230157</c:v>
                </c:pt>
                <c:pt idx="9">
                  <c:v>231314</c:v>
                </c:pt>
              </c:numCache>
            </c:numRef>
          </c:val>
          <c:extLst>
            <c:ext xmlns:c16="http://schemas.microsoft.com/office/drawing/2014/chart" uri="{C3380CC4-5D6E-409C-BE32-E72D297353CC}">
              <c16:uniqueId val="{00000000-9E11-4245-86FF-91193E9ABA4F}"/>
            </c:ext>
          </c:extLst>
        </c:ser>
        <c:dLbls>
          <c:showLegendKey val="0"/>
          <c:showVal val="0"/>
          <c:showCatName val="0"/>
          <c:showSerName val="0"/>
          <c:showPercent val="0"/>
          <c:showBubbleSize val="0"/>
        </c:dLbls>
        <c:gapWidth val="150"/>
        <c:axId val="650748863"/>
        <c:axId val="1273493711"/>
      </c:barChart>
      <c:lineChart>
        <c:grouping val="standard"/>
        <c:varyColors val="0"/>
        <c:ser>
          <c:idx val="0"/>
          <c:order val="0"/>
          <c:tx>
            <c:strRef>
              <c:f>'ESG ETF Assets'!$D$4</c:f>
              <c:strCache>
                <c:ptCount val="1"/>
                <c:pt idx="0">
                  <c:v>No. products RHS</c:v>
                </c:pt>
              </c:strCache>
            </c:strRef>
          </c:tx>
          <c:spPr>
            <a:ln w="28575" cap="rnd">
              <a:solidFill>
                <a:schemeClr val="accent2"/>
              </a:solidFill>
              <a:round/>
            </a:ln>
            <a:effectLst/>
          </c:spPr>
          <c:marker>
            <c:symbol val="none"/>
          </c:marker>
          <c:cat>
            <c:strRef>
              <c:f>'ESG ETF Assets'!$C$5:$C$14</c:f>
              <c:strCache>
                <c:ptCount val="10"/>
                <c:pt idx="0">
                  <c:v>2013</c:v>
                </c:pt>
                <c:pt idx="1">
                  <c:v>2014</c:v>
                </c:pt>
                <c:pt idx="2">
                  <c:v>2015</c:v>
                </c:pt>
                <c:pt idx="3">
                  <c:v>2016</c:v>
                </c:pt>
                <c:pt idx="4">
                  <c:v>2017</c:v>
                </c:pt>
                <c:pt idx="5">
                  <c:v>2018</c:v>
                </c:pt>
                <c:pt idx="6">
                  <c:v>2019</c:v>
                </c:pt>
                <c:pt idx="7">
                  <c:v>2020</c:v>
                </c:pt>
                <c:pt idx="8">
                  <c:v>2021</c:v>
                </c:pt>
                <c:pt idx="9">
                  <c:v>2022 YTD</c:v>
                </c:pt>
              </c:strCache>
            </c:strRef>
          </c:cat>
          <c:val>
            <c:numRef>
              <c:f>'ESG ETF Assets'!$D$5:$D$14</c:f>
              <c:numCache>
                <c:formatCode>General</c:formatCode>
                <c:ptCount val="10"/>
                <c:pt idx="0">
                  <c:v>16</c:v>
                </c:pt>
                <c:pt idx="1">
                  <c:v>18</c:v>
                </c:pt>
                <c:pt idx="2">
                  <c:v>23</c:v>
                </c:pt>
                <c:pt idx="3">
                  <c:v>38</c:v>
                </c:pt>
                <c:pt idx="4">
                  <c:v>49</c:v>
                </c:pt>
                <c:pt idx="5">
                  <c:v>78</c:v>
                </c:pt>
                <c:pt idx="6">
                  <c:v>115</c:v>
                </c:pt>
                <c:pt idx="7">
                  <c:v>215</c:v>
                </c:pt>
                <c:pt idx="8">
                  <c:v>374</c:v>
                </c:pt>
                <c:pt idx="9">
                  <c:v>414</c:v>
                </c:pt>
              </c:numCache>
            </c:numRef>
          </c:val>
          <c:smooth val="0"/>
          <c:extLst>
            <c:ext xmlns:c16="http://schemas.microsoft.com/office/drawing/2014/chart" uri="{C3380CC4-5D6E-409C-BE32-E72D297353CC}">
              <c16:uniqueId val="{00000001-9E11-4245-86FF-91193E9ABA4F}"/>
            </c:ext>
          </c:extLst>
        </c:ser>
        <c:dLbls>
          <c:showLegendKey val="0"/>
          <c:showVal val="0"/>
          <c:showCatName val="0"/>
          <c:showSerName val="0"/>
          <c:showPercent val="0"/>
          <c:showBubbleSize val="0"/>
        </c:dLbls>
        <c:marker val="1"/>
        <c:smooth val="0"/>
        <c:axId val="650430063"/>
        <c:axId val="1292269903"/>
      </c:lineChart>
      <c:valAx>
        <c:axId val="1292269903"/>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50430063"/>
        <c:crosses val="max"/>
        <c:crossBetween val="between"/>
      </c:valAx>
      <c:catAx>
        <c:axId val="65043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292269903"/>
        <c:crosses val="autoZero"/>
        <c:auto val="1"/>
        <c:lblAlgn val="ctr"/>
        <c:lblOffset val="100"/>
        <c:noMultiLvlLbl val="0"/>
      </c:catAx>
      <c:valAx>
        <c:axId val="12734937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50748863"/>
        <c:crosses val="autoZero"/>
        <c:crossBetween val="between"/>
        <c:majorUnit val="30000"/>
      </c:valAx>
      <c:catAx>
        <c:axId val="650748863"/>
        <c:scaling>
          <c:orientation val="minMax"/>
        </c:scaling>
        <c:delete val="1"/>
        <c:axPos val="b"/>
        <c:numFmt formatCode="General" sourceLinked="1"/>
        <c:majorTickMark val="none"/>
        <c:minorTickMark val="none"/>
        <c:tickLblPos val="nextTo"/>
        <c:crossAx val="12734937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noFill/>
      <a:round/>
    </a:ln>
    <a:effectLst/>
  </c:spPr>
  <c:txPr>
    <a:bodyPr/>
    <a:lstStyle/>
    <a:p>
      <a:pPr>
        <a:defRPr>
          <a:solidFill>
            <a:sysClr val="windowText" lastClr="000000"/>
          </a:solidFill>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38931456397922E-2"/>
          <c:y val="0.11582052794061536"/>
          <c:w val="0.87671022194043291"/>
          <c:h val="0.74807450830760691"/>
        </c:manualLayout>
      </c:layout>
      <c:barChart>
        <c:barDir val="col"/>
        <c:grouping val="stacked"/>
        <c:varyColors val="0"/>
        <c:ser>
          <c:idx val="0"/>
          <c:order val="0"/>
          <c:tx>
            <c:strRef>
              <c:f>Sheet1!$B$1</c:f>
              <c:strCache>
                <c:ptCount val="1"/>
                <c:pt idx="0">
                  <c:v>Actual</c:v>
                </c:pt>
              </c:strCache>
            </c:strRef>
          </c:tx>
          <c:spPr>
            <a:solidFill>
              <a:schemeClr val="accent1"/>
            </a:solidFill>
            <a:ln>
              <a:noFill/>
            </a:ln>
            <a:effectLst/>
          </c:spPr>
          <c:invertIfNegative val="0"/>
          <c:dPt>
            <c:idx val="12"/>
            <c:invertIfNegative val="0"/>
            <c:bubble3D val="0"/>
            <c:spPr>
              <a:solidFill>
                <a:srgbClr val="000078"/>
              </a:solidFill>
              <a:ln>
                <a:noFill/>
              </a:ln>
              <a:effectLst/>
            </c:spPr>
            <c:extLst>
              <c:ext xmlns:c16="http://schemas.microsoft.com/office/drawing/2014/chart" uri="{C3380CC4-5D6E-409C-BE32-E72D297353CC}">
                <c16:uniqueId val="{00000001-6CFE-400E-8799-7FE7451A2D76}"/>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3-6CFE-400E-8799-7FE7451A2D76}"/>
              </c:ext>
            </c:extLst>
          </c:dPt>
          <c:dLbls>
            <c:dLbl>
              <c:idx val="0"/>
              <c:delete val="1"/>
              <c:extLst>
                <c:ext xmlns:c15="http://schemas.microsoft.com/office/drawing/2012/chart" uri="{CE6537A1-D6FC-4f65-9D91-7224C49458BB}"/>
                <c:ext xmlns:c16="http://schemas.microsoft.com/office/drawing/2014/chart" uri="{C3380CC4-5D6E-409C-BE32-E72D297353CC}">
                  <c16:uniqueId val="{00000004-6CFE-400E-8799-7FE7451A2D76}"/>
                </c:ext>
              </c:extLst>
            </c:dLbl>
            <c:dLbl>
              <c:idx val="1"/>
              <c:delete val="1"/>
              <c:extLst>
                <c:ext xmlns:c15="http://schemas.microsoft.com/office/drawing/2012/chart" uri="{CE6537A1-D6FC-4f65-9D91-7224C49458BB}"/>
                <c:ext xmlns:c16="http://schemas.microsoft.com/office/drawing/2014/chart" uri="{C3380CC4-5D6E-409C-BE32-E72D297353CC}">
                  <c16:uniqueId val="{00000005-6CFE-400E-8799-7FE7451A2D76}"/>
                </c:ext>
              </c:extLst>
            </c:dLbl>
            <c:dLbl>
              <c:idx val="2"/>
              <c:delete val="1"/>
              <c:extLst>
                <c:ext xmlns:c15="http://schemas.microsoft.com/office/drawing/2012/chart" uri="{CE6537A1-D6FC-4f65-9D91-7224C49458BB}"/>
                <c:ext xmlns:c16="http://schemas.microsoft.com/office/drawing/2014/chart" uri="{C3380CC4-5D6E-409C-BE32-E72D297353CC}">
                  <c16:uniqueId val="{00000006-6CFE-400E-8799-7FE7451A2D76}"/>
                </c:ext>
              </c:extLst>
            </c:dLbl>
            <c:dLbl>
              <c:idx val="3"/>
              <c:delete val="1"/>
              <c:extLst>
                <c:ext xmlns:c15="http://schemas.microsoft.com/office/drawing/2012/chart" uri="{CE6537A1-D6FC-4f65-9D91-7224C49458BB}"/>
                <c:ext xmlns:c16="http://schemas.microsoft.com/office/drawing/2014/chart" uri="{C3380CC4-5D6E-409C-BE32-E72D297353CC}">
                  <c16:uniqueId val="{00000007-6CFE-400E-8799-7FE7451A2D76}"/>
                </c:ext>
              </c:extLst>
            </c:dLbl>
            <c:dLbl>
              <c:idx val="4"/>
              <c:delete val="1"/>
              <c:extLst>
                <c:ext xmlns:c15="http://schemas.microsoft.com/office/drawing/2012/chart" uri="{CE6537A1-D6FC-4f65-9D91-7224C49458BB}"/>
                <c:ext xmlns:c16="http://schemas.microsoft.com/office/drawing/2014/chart" uri="{C3380CC4-5D6E-409C-BE32-E72D297353CC}">
                  <c16:uniqueId val="{00000008-6CFE-400E-8799-7FE7451A2D76}"/>
                </c:ext>
              </c:extLst>
            </c:dLbl>
            <c:dLbl>
              <c:idx val="5"/>
              <c:delete val="1"/>
              <c:extLst>
                <c:ext xmlns:c15="http://schemas.microsoft.com/office/drawing/2012/chart" uri="{CE6537A1-D6FC-4f65-9D91-7224C49458BB}"/>
                <c:ext xmlns:c16="http://schemas.microsoft.com/office/drawing/2014/chart" uri="{C3380CC4-5D6E-409C-BE32-E72D297353CC}">
                  <c16:uniqueId val="{00000009-6CFE-400E-8799-7FE7451A2D76}"/>
                </c:ext>
              </c:extLst>
            </c:dLbl>
            <c:dLbl>
              <c:idx val="6"/>
              <c:delete val="1"/>
              <c:extLst>
                <c:ext xmlns:c15="http://schemas.microsoft.com/office/drawing/2012/chart" uri="{CE6537A1-D6FC-4f65-9D91-7224C49458BB}"/>
                <c:ext xmlns:c16="http://schemas.microsoft.com/office/drawing/2014/chart" uri="{C3380CC4-5D6E-409C-BE32-E72D297353CC}">
                  <c16:uniqueId val="{0000000A-6CFE-400E-8799-7FE7451A2D76}"/>
                </c:ext>
              </c:extLst>
            </c:dLbl>
            <c:dLbl>
              <c:idx val="7"/>
              <c:delete val="1"/>
              <c:extLst>
                <c:ext xmlns:c15="http://schemas.microsoft.com/office/drawing/2012/chart" uri="{CE6537A1-D6FC-4f65-9D91-7224C49458BB}"/>
                <c:ext xmlns:c16="http://schemas.microsoft.com/office/drawing/2014/chart" uri="{C3380CC4-5D6E-409C-BE32-E72D297353CC}">
                  <c16:uniqueId val="{0000000B-6CFE-400E-8799-7FE7451A2D76}"/>
                </c:ext>
              </c:extLst>
            </c:dLbl>
            <c:dLbl>
              <c:idx val="8"/>
              <c:delete val="1"/>
              <c:extLst>
                <c:ext xmlns:c15="http://schemas.microsoft.com/office/drawing/2012/chart" uri="{CE6537A1-D6FC-4f65-9D91-7224C49458BB}"/>
                <c:ext xmlns:c16="http://schemas.microsoft.com/office/drawing/2014/chart" uri="{C3380CC4-5D6E-409C-BE32-E72D297353CC}">
                  <c16:uniqueId val="{0000000C-6CFE-400E-8799-7FE7451A2D76}"/>
                </c:ext>
              </c:extLst>
            </c:dLbl>
            <c:dLbl>
              <c:idx val="9"/>
              <c:delete val="1"/>
              <c:extLst>
                <c:ext xmlns:c15="http://schemas.microsoft.com/office/drawing/2012/chart" uri="{CE6537A1-D6FC-4f65-9D91-7224C49458BB}"/>
                <c:ext xmlns:c16="http://schemas.microsoft.com/office/drawing/2014/chart" uri="{C3380CC4-5D6E-409C-BE32-E72D297353CC}">
                  <c16:uniqueId val="{0000000D-6CFE-400E-8799-7FE7451A2D76}"/>
                </c:ext>
              </c:extLst>
            </c:dLbl>
            <c:dLbl>
              <c:idx val="10"/>
              <c:delete val="1"/>
              <c:extLst>
                <c:ext xmlns:c15="http://schemas.microsoft.com/office/drawing/2012/chart" uri="{CE6537A1-D6FC-4f65-9D91-7224C49458BB}"/>
                <c:ext xmlns:c16="http://schemas.microsoft.com/office/drawing/2014/chart" uri="{C3380CC4-5D6E-409C-BE32-E72D297353CC}">
                  <c16:uniqueId val="{0000000E-6CFE-400E-8799-7FE7451A2D76}"/>
                </c:ext>
              </c:extLst>
            </c:dLbl>
            <c:dLbl>
              <c:idx val="11"/>
              <c:delete val="1"/>
              <c:extLst>
                <c:ext xmlns:c15="http://schemas.microsoft.com/office/drawing/2012/chart" uri="{CE6537A1-D6FC-4f65-9D91-7224C49458BB}"/>
                <c:ext xmlns:c16="http://schemas.microsoft.com/office/drawing/2014/chart" uri="{C3380CC4-5D6E-409C-BE32-E72D297353CC}">
                  <c16:uniqueId val="{0000000F-6CFE-400E-8799-7FE7451A2D76}"/>
                </c:ext>
              </c:extLst>
            </c:dLbl>
            <c:dLbl>
              <c:idx val="12"/>
              <c:delete val="1"/>
              <c:extLst>
                <c:ext xmlns:c15="http://schemas.microsoft.com/office/drawing/2012/chart" uri="{CE6537A1-D6FC-4f65-9D91-7224C49458BB}"/>
                <c:ext xmlns:c16="http://schemas.microsoft.com/office/drawing/2014/chart" uri="{C3380CC4-5D6E-409C-BE32-E72D297353CC}">
                  <c16:uniqueId val="{00000001-6CFE-400E-8799-7FE7451A2D76}"/>
                </c:ext>
              </c:extLst>
            </c:dLbl>
            <c:dLbl>
              <c:idx val="13"/>
              <c:layout>
                <c:manualLayout>
                  <c:x val="0"/>
                  <c:y val="-0.123348017621145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FE-400E-8799-7FE7451A2D76}"/>
                </c:ext>
              </c:extLst>
            </c:dLbl>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 YTD</c:v>
                </c:pt>
              </c:strCache>
            </c:strRef>
          </c:cat>
          <c:val>
            <c:numRef>
              <c:f>Sheet1!$B$2:$B$15</c:f>
              <c:numCache>
                <c:formatCode>General</c:formatCode>
                <c:ptCount val="14"/>
                <c:pt idx="0">
                  <c:v>49</c:v>
                </c:pt>
                <c:pt idx="1">
                  <c:v>41</c:v>
                </c:pt>
                <c:pt idx="2">
                  <c:v>18</c:v>
                </c:pt>
                <c:pt idx="3">
                  <c:v>26</c:v>
                </c:pt>
                <c:pt idx="4">
                  <c:v>22</c:v>
                </c:pt>
                <c:pt idx="5">
                  <c:v>57</c:v>
                </c:pt>
                <c:pt idx="6">
                  <c:v>78</c:v>
                </c:pt>
                <c:pt idx="7">
                  <c:v>51</c:v>
                </c:pt>
                <c:pt idx="8">
                  <c:v>108</c:v>
                </c:pt>
                <c:pt idx="9">
                  <c:v>52</c:v>
                </c:pt>
                <c:pt idx="10">
                  <c:v>124</c:v>
                </c:pt>
                <c:pt idx="11">
                  <c:v>120</c:v>
                </c:pt>
                <c:pt idx="12">
                  <c:v>194</c:v>
                </c:pt>
                <c:pt idx="13">
                  <c:v>50</c:v>
                </c:pt>
              </c:numCache>
            </c:numRef>
          </c:val>
          <c:extLst>
            <c:ext xmlns:c16="http://schemas.microsoft.com/office/drawing/2014/chart" uri="{C3380CC4-5D6E-409C-BE32-E72D297353CC}">
              <c16:uniqueId val="{00000010-6CFE-400E-8799-7FE7451A2D76}"/>
            </c:ext>
          </c:extLst>
        </c:ser>
        <c:dLbls>
          <c:dLblPos val="ctr"/>
          <c:showLegendKey val="0"/>
          <c:showVal val="1"/>
          <c:showCatName val="0"/>
          <c:showSerName val="0"/>
          <c:showPercent val="0"/>
          <c:showBubbleSize val="0"/>
        </c:dLbls>
        <c:gapWidth val="150"/>
        <c:overlap val="100"/>
        <c:axId val="266218575"/>
        <c:axId val="2126931935"/>
      </c:barChart>
      <c:catAx>
        <c:axId val="26621857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rgbClr val="000000"/>
                </a:solidFill>
                <a:latin typeface="+mn-lt"/>
                <a:ea typeface="+mn-ea"/>
                <a:cs typeface="+mn-cs"/>
              </a:defRPr>
            </a:pPr>
            <a:endParaRPr lang="cs-CZ"/>
          </a:p>
        </c:txPr>
        <c:crossAx val="2126931935"/>
        <c:crosses val="autoZero"/>
        <c:auto val="1"/>
        <c:lblAlgn val="ctr"/>
        <c:lblOffset val="100"/>
        <c:noMultiLvlLbl val="0"/>
      </c:catAx>
      <c:valAx>
        <c:axId val="2126931935"/>
        <c:scaling>
          <c:orientation val="minMax"/>
          <c:max val="22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0000"/>
                </a:solidFill>
                <a:latin typeface="+mn-lt"/>
                <a:ea typeface="+mn-ea"/>
                <a:cs typeface="+mn-cs"/>
              </a:defRPr>
            </a:pPr>
            <a:endParaRPr lang="cs-CZ"/>
          </a:p>
        </c:txPr>
        <c:crossAx val="266218575"/>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FF">
        <a:lumMod val="95000"/>
      </a:srgbClr>
    </a:solidFill>
    <a:ln w="9525" cap="flat" cmpd="sng" algn="ctr">
      <a:noFill/>
      <a:round/>
    </a:ln>
    <a:effectLst/>
    <a:extLst>
      <a:ext uri="{91240B29-F687-4F45-9708-019B960494DF}">
        <a14:hiddenLine xmlns:a14="http://schemas.microsoft.com/office/drawing/2010/main">
          <a:noFill/>
        </a14:hiddenLine>
      </a:ext>
    </a:extLst>
  </c:spPr>
  <c:txPr>
    <a:bodyPr/>
    <a:lstStyle/>
    <a:p>
      <a:pPr>
        <a:defRPr sz="800">
          <a:solidFill>
            <a:srgbClr val="000000"/>
          </a:solidFill>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96609707240461"/>
          <c:y val="0.12768947934371638"/>
          <c:w val="0.75638589848600746"/>
          <c:h val="0.69625377224322726"/>
        </c:manualLayout>
      </c:layout>
      <c:lineChart>
        <c:grouping val="standard"/>
        <c:varyColors val="0"/>
        <c:ser>
          <c:idx val="0"/>
          <c:order val="0"/>
          <c:tx>
            <c:strRef>
              <c:f>Sheet1!$B$1</c:f>
              <c:strCache>
                <c:ptCount val="1"/>
                <c:pt idx="0">
                  <c:v>Series 1</c:v>
                </c:pt>
              </c:strCache>
            </c:strRef>
          </c:tx>
          <c:spPr>
            <a:ln w="28575" cap="rnd">
              <a:solidFill>
                <a:schemeClr val="tx2"/>
              </a:solidFill>
              <a:round/>
            </a:ln>
            <a:effectLst/>
          </c:spPr>
          <c:marker>
            <c:symbol val="none"/>
          </c:marker>
          <c:cat>
            <c:strRef>
              <c:f>Sheet1!$A$2:$A$15</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 YTD</c:v>
                </c:pt>
              </c:strCache>
            </c:strRef>
          </c:cat>
          <c:val>
            <c:numRef>
              <c:f>Sheet1!$B$2:$B$15</c:f>
              <c:numCache>
                <c:formatCode>#,##0.00</c:formatCode>
                <c:ptCount val="14"/>
                <c:pt idx="0">
                  <c:v>240200</c:v>
                </c:pt>
                <c:pt idx="1">
                  <c:v>309300</c:v>
                </c:pt>
                <c:pt idx="2">
                  <c:v>297800</c:v>
                </c:pt>
                <c:pt idx="3">
                  <c:v>369253</c:v>
                </c:pt>
                <c:pt idx="4">
                  <c:v>417576</c:v>
                </c:pt>
                <c:pt idx="5">
                  <c:v>459543</c:v>
                </c:pt>
                <c:pt idx="6">
                  <c:v>505539</c:v>
                </c:pt>
                <c:pt idx="7">
                  <c:v>572620</c:v>
                </c:pt>
                <c:pt idx="8">
                  <c:v>802382</c:v>
                </c:pt>
                <c:pt idx="9">
                  <c:v>773125</c:v>
                </c:pt>
                <c:pt idx="10">
                  <c:v>1041429</c:v>
                </c:pt>
                <c:pt idx="11">
                  <c:v>1293730</c:v>
                </c:pt>
                <c:pt idx="12">
                  <c:v>1607930</c:v>
                </c:pt>
                <c:pt idx="13">
                  <c:v>1574708</c:v>
                </c:pt>
              </c:numCache>
            </c:numRef>
          </c:val>
          <c:smooth val="0"/>
          <c:extLst>
            <c:ext xmlns:c16="http://schemas.microsoft.com/office/drawing/2014/chart" uri="{C3380CC4-5D6E-409C-BE32-E72D297353CC}">
              <c16:uniqueId val="{00000000-CEE6-4AD4-BD34-A9EEDD849993}"/>
            </c:ext>
          </c:extLst>
        </c:ser>
        <c:dLbls>
          <c:showLegendKey val="0"/>
          <c:showVal val="0"/>
          <c:showCatName val="0"/>
          <c:showSerName val="0"/>
          <c:showPercent val="0"/>
          <c:showBubbleSize val="0"/>
        </c:dLbls>
        <c:smooth val="0"/>
        <c:axId val="1478723728"/>
        <c:axId val="1657019488"/>
      </c:lineChart>
      <c:dateAx>
        <c:axId val="14787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657019488"/>
        <c:crosses val="autoZero"/>
        <c:auto val="0"/>
        <c:lblOffset val="100"/>
        <c:baseTimeUnit val="days"/>
        <c:majorUnit val="3"/>
        <c:minorUnit val="2"/>
      </c:dateAx>
      <c:valAx>
        <c:axId val="1657019488"/>
        <c:scaling>
          <c:orientation val="minMax"/>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478723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noFill/>
      <a:round/>
    </a:ln>
    <a:effectLst/>
  </c:spPr>
  <c:txPr>
    <a:bodyPr/>
    <a:lstStyle/>
    <a:p>
      <a:pPr>
        <a:defRPr sz="1000">
          <a:solidFill>
            <a:schemeClr val="tx1"/>
          </a:solidFill>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6995054536822"/>
          <c:y val="0.11511949772798226"/>
          <c:w val="0.83722755065474985"/>
          <c:h val="0.71675430989628486"/>
        </c:manualLayout>
      </c:layout>
      <c:lineChart>
        <c:grouping val="standard"/>
        <c:varyColors val="0"/>
        <c:ser>
          <c:idx val="0"/>
          <c:order val="0"/>
          <c:tx>
            <c:strRef>
              <c:f>Sheet1!$B$1</c:f>
              <c:strCache>
                <c:ptCount val="1"/>
                <c:pt idx="0">
                  <c:v>Invesco EMEA ETF</c:v>
                </c:pt>
              </c:strCache>
            </c:strRef>
          </c:tx>
          <c:spPr>
            <a:ln w="28575" cap="rnd">
              <a:solidFill>
                <a:schemeClr val="tx2"/>
              </a:solidFill>
              <a:round/>
            </a:ln>
            <a:effectLst/>
          </c:spPr>
          <c:marker>
            <c:symbol val="none"/>
          </c:marker>
          <c:cat>
            <c:strRef>
              <c:f>Sheet1!$A$2:$A$15</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 YTD</c:v>
                </c:pt>
              </c:strCache>
            </c:strRef>
          </c:cat>
          <c:val>
            <c:numRef>
              <c:f>Sheet1!$B$2:$B$15</c:f>
              <c:numCache>
                <c:formatCode>_(* #,##0.00_);_(* \(#,##0.00\);_(* "-"??_);_(@_)</c:formatCode>
                <c:ptCount val="14"/>
                <c:pt idx="0">
                  <c:v>3251</c:v>
                </c:pt>
                <c:pt idx="1">
                  <c:v>6038</c:v>
                </c:pt>
                <c:pt idx="2">
                  <c:v>7105</c:v>
                </c:pt>
                <c:pt idx="3">
                  <c:v>11877</c:v>
                </c:pt>
                <c:pt idx="4">
                  <c:v>11493</c:v>
                </c:pt>
                <c:pt idx="5">
                  <c:v>12283</c:v>
                </c:pt>
                <c:pt idx="6">
                  <c:v>13431</c:v>
                </c:pt>
                <c:pt idx="7">
                  <c:v>14770</c:v>
                </c:pt>
                <c:pt idx="8">
                  <c:v>21950</c:v>
                </c:pt>
                <c:pt idx="9">
                  <c:v>21245</c:v>
                </c:pt>
                <c:pt idx="10">
                  <c:v>36216</c:v>
                </c:pt>
                <c:pt idx="11">
                  <c:v>49505</c:v>
                </c:pt>
                <c:pt idx="12">
                  <c:v>67505</c:v>
                </c:pt>
                <c:pt idx="13">
                  <c:v>72972</c:v>
                </c:pt>
              </c:numCache>
            </c:numRef>
          </c:val>
          <c:smooth val="0"/>
          <c:extLst>
            <c:ext xmlns:c16="http://schemas.microsoft.com/office/drawing/2014/chart" uri="{C3380CC4-5D6E-409C-BE32-E72D297353CC}">
              <c16:uniqueId val="{00000000-3C7E-497C-B5D6-FA07BC0F73B3}"/>
            </c:ext>
          </c:extLst>
        </c:ser>
        <c:dLbls>
          <c:showLegendKey val="0"/>
          <c:showVal val="0"/>
          <c:showCatName val="0"/>
          <c:showSerName val="0"/>
          <c:showPercent val="0"/>
          <c:showBubbleSize val="0"/>
        </c:dLbls>
        <c:smooth val="0"/>
        <c:axId val="1682784816"/>
        <c:axId val="1476630400"/>
      </c:lineChart>
      <c:dateAx>
        <c:axId val="168278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cs-CZ"/>
          </a:p>
        </c:txPr>
        <c:crossAx val="1476630400"/>
        <c:crosses val="autoZero"/>
        <c:auto val="0"/>
        <c:lblOffset val="100"/>
        <c:baseTimeUnit val="days"/>
        <c:majorUnit val="3"/>
        <c:majorTimeUnit val="days"/>
      </c:dateAx>
      <c:valAx>
        <c:axId val="1476630400"/>
        <c:scaling>
          <c:orientation val="minMax"/>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682784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noFill/>
      <a:round/>
    </a:ln>
    <a:effectLst/>
  </c:spPr>
  <c:txPr>
    <a:bodyPr/>
    <a:lstStyle/>
    <a:p>
      <a:pPr>
        <a:defRPr sz="1000">
          <a:solidFill>
            <a:schemeClr val="tx1"/>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C998638B-AB10-4844-94ED-422FF1E68EB6}">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816</Words>
  <Characters>4822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3</cp:revision>
  <cp:lastPrinted>2021-02-17T20:24:00Z</cp:lastPrinted>
  <dcterms:created xsi:type="dcterms:W3CDTF">2022-06-13T09:02:00Z</dcterms:created>
  <dcterms:modified xsi:type="dcterms:W3CDTF">2022-06-13T09:16:00Z</dcterms:modified>
</cp:coreProperties>
</file>